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59105B9">
      <w:pPr>
        <w:rPr>
          <w:rFonts w:hint="eastAsia" w:ascii="宋体" w:hAnsi="宋体" w:eastAsia="宋体" w:cs="宋体"/>
          <w:color w:val="auto"/>
          <w:highlight w:val="none"/>
        </w:rPr>
      </w:pPr>
    </w:p>
    <w:p w14:paraId="45057C3C">
      <w:pPr>
        <w:rPr>
          <w:rFonts w:hint="eastAsia" w:ascii="宋体" w:hAnsi="宋体" w:eastAsia="宋体" w:cs="宋体"/>
          <w:color w:val="auto"/>
          <w:highlight w:val="none"/>
        </w:rPr>
      </w:pPr>
    </w:p>
    <w:p w14:paraId="09CDD57F">
      <w:pPr>
        <w:rPr>
          <w:rFonts w:hint="eastAsia" w:ascii="宋体" w:hAnsi="宋体" w:eastAsia="宋体" w:cs="宋体"/>
          <w:b/>
          <w:color w:val="auto"/>
          <w:sz w:val="96"/>
          <w:szCs w:val="96"/>
          <w:highlight w:val="none"/>
        </w:rPr>
      </w:pPr>
    </w:p>
    <w:p w14:paraId="3E8BE85D">
      <w:pPr>
        <w:jc w:val="center"/>
        <w:rPr>
          <w:rFonts w:hint="eastAsia" w:ascii="宋体" w:hAnsi="宋体" w:eastAsia="宋体" w:cs="宋体"/>
          <w:b/>
          <w:color w:val="auto"/>
          <w:sz w:val="96"/>
          <w:szCs w:val="96"/>
          <w:highlight w:val="none"/>
        </w:rPr>
      </w:pPr>
      <w:r>
        <w:rPr>
          <w:rFonts w:hint="eastAsia" w:ascii="宋体" w:hAnsi="宋体" w:eastAsia="宋体" w:cs="宋体"/>
          <w:b/>
          <w:color w:val="auto"/>
          <w:sz w:val="96"/>
          <w:szCs w:val="96"/>
          <w:highlight w:val="none"/>
        </w:rPr>
        <w:t>招 标 文 件</w:t>
      </w:r>
    </w:p>
    <w:p w14:paraId="3CF72D43">
      <w:pPr>
        <w:rPr>
          <w:rFonts w:hint="eastAsia" w:ascii="宋体" w:hAnsi="宋体" w:eastAsia="宋体" w:cs="宋体"/>
          <w:color w:val="auto"/>
          <w:highlight w:val="none"/>
        </w:rPr>
      </w:pPr>
    </w:p>
    <w:p w14:paraId="501038BE">
      <w:pPr>
        <w:rPr>
          <w:rFonts w:hint="eastAsia" w:ascii="宋体" w:hAnsi="宋体" w:eastAsia="宋体" w:cs="宋体"/>
          <w:color w:val="auto"/>
          <w:highlight w:val="none"/>
        </w:rPr>
      </w:pPr>
    </w:p>
    <w:p w14:paraId="7D34899B">
      <w:pPr>
        <w:rPr>
          <w:rFonts w:hint="eastAsia" w:ascii="宋体" w:hAnsi="宋体" w:eastAsia="宋体" w:cs="宋体"/>
          <w:color w:val="auto"/>
          <w:highlight w:val="none"/>
        </w:rPr>
      </w:pPr>
    </w:p>
    <w:p w14:paraId="3E9A6C22">
      <w:pPr>
        <w:rPr>
          <w:rFonts w:hint="eastAsia" w:ascii="宋体" w:hAnsi="宋体" w:eastAsia="宋体" w:cs="宋体"/>
          <w:b/>
          <w:color w:val="auto"/>
          <w:sz w:val="44"/>
          <w:szCs w:val="44"/>
          <w:highlight w:val="none"/>
        </w:rPr>
      </w:pPr>
    </w:p>
    <w:p w14:paraId="5ABE2319">
      <w:pPr>
        <w:ind w:left="-38" w:leftChars="-18" w:firstLine="36" w:firstLineChars="9"/>
        <w:jc w:val="left"/>
        <w:rPr>
          <w:rFonts w:hint="eastAsia" w:ascii="宋体" w:hAnsi="宋体" w:eastAsia="宋体" w:cs="宋体"/>
          <w:b/>
          <w:color w:val="auto"/>
          <w:sz w:val="40"/>
          <w:szCs w:val="40"/>
          <w:highlight w:val="none"/>
          <w:lang w:eastAsia="zh-CN"/>
        </w:rPr>
      </w:pPr>
      <w:r>
        <w:rPr>
          <w:rFonts w:hint="eastAsia" w:ascii="宋体" w:hAnsi="宋体" w:eastAsia="宋体" w:cs="宋体"/>
          <w:b/>
          <w:color w:val="auto"/>
          <w:sz w:val="40"/>
          <w:szCs w:val="40"/>
          <w:highlight w:val="none"/>
        </w:rPr>
        <w:t>项目编号：</w:t>
      </w:r>
      <w:r>
        <w:rPr>
          <w:rFonts w:hint="eastAsia" w:ascii="宋体" w:hAnsi="宋体" w:cs="宋体"/>
          <w:b/>
          <w:color w:val="auto"/>
          <w:sz w:val="40"/>
          <w:szCs w:val="40"/>
          <w:highlight w:val="none"/>
          <w:lang w:eastAsia="zh-CN"/>
        </w:rPr>
        <w:t>JSZC-320581-SZDS-G2026-0003</w:t>
      </w:r>
    </w:p>
    <w:p w14:paraId="1748DD41">
      <w:pPr>
        <w:autoSpaceDE w:val="0"/>
        <w:autoSpaceDN w:val="0"/>
        <w:adjustRightInd w:val="0"/>
        <w:spacing w:line="360" w:lineRule="auto"/>
        <w:ind w:left="-38" w:leftChars="-18" w:firstLine="36" w:firstLineChars="9"/>
        <w:jc w:val="left"/>
        <w:rPr>
          <w:rFonts w:hint="eastAsia" w:ascii="宋体" w:hAnsi="宋体" w:eastAsia="宋体" w:cs="宋体"/>
          <w:b/>
          <w:color w:val="auto"/>
          <w:sz w:val="40"/>
          <w:szCs w:val="40"/>
          <w:highlight w:val="none"/>
          <w:lang w:eastAsia="zh-CN"/>
        </w:rPr>
      </w:pPr>
      <w:r>
        <w:rPr>
          <w:rFonts w:hint="eastAsia" w:ascii="宋体" w:hAnsi="宋体" w:eastAsia="宋体" w:cs="宋体"/>
          <w:b/>
          <w:color w:val="auto"/>
          <w:sz w:val="40"/>
          <w:szCs w:val="40"/>
          <w:highlight w:val="none"/>
        </w:rPr>
        <w:t>项目名称：</w:t>
      </w:r>
      <w:r>
        <w:rPr>
          <w:rFonts w:hint="eastAsia" w:ascii="宋体" w:hAnsi="宋体" w:eastAsia="宋体" w:cs="宋体"/>
          <w:b/>
          <w:color w:val="auto"/>
          <w:sz w:val="40"/>
          <w:szCs w:val="40"/>
          <w:highlight w:val="none"/>
          <w:lang w:eastAsia="zh-CN"/>
        </w:rPr>
        <w:t>常熟市梅李人民医院食堂供餐配送服务</w:t>
      </w:r>
    </w:p>
    <w:p w14:paraId="1B785FD6">
      <w:pPr>
        <w:autoSpaceDE w:val="0"/>
        <w:autoSpaceDN w:val="0"/>
        <w:adjustRightInd w:val="0"/>
        <w:spacing w:line="360" w:lineRule="auto"/>
        <w:ind w:left="-38" w:leftChars="-18" w:firstLine="36" w:firstLineChars="9"/>
        <w:jc w:val="left"/>
        <w:rPr>
          <w:rFonts w:hint="eastAsia" w:ascii="宋体" w:hAnsi="宋体" w:eastAsia="宋体" w:cs="宋体"/>
          <w:b/>
          <w:color w:val="auto"/>
          <w:sz w:val="40"/>
          <w:szCs w:val="40"/>
          <w:highlight w:val="none"/>
        </w:rPr>
      </w:pPr>
      <w:r>
        <w:rPr>
          <w:rFonts w:hint="eastAsia" w:ascii="宋体" w:hAnsi="宋体" w:eastAsia="宋体" w:cs="宋体"/>
          <w:b/>
          <w:color w:val="auto"/>
          <w:sz w:val="40"/>
          <w:szCs w:val="40"/>
          <w:highlight w:val="none"/>
        </w:rPr>
        <w:t>项目属性：服务类项目</w:t>
      </w:r>
    </w:p>
    <w:p w14:paraId="24489664">
      <w:pPr>
        <w:autoSpaceDE w:val="0"/>
        <w:autoSpaceDN w:val="0"/>
        <w:adjustRightInd w:val="0"/>
        <w:spacing w:line="360" w:lineRule="auto"/>
        <w:ind w:left="-38" w:leftChars="-18" w:firstLine="36" w:firstLineChars="9"/>
        <w:jc w:val="left"/>
        <w:rPr>
          <w:rFonts w:hint="eastAsia" w:ascii="宋体" w:hAnsi="宋体" w:eastAsia="宋体" w:cs="宋体"/>
          <w:b/>
          <w:color w:val="auto"/>
          <w:sz w:val="40"/>
          <w:szCs w:val="40"/>
          <w:highlight w:val="none"/>
          <w:lang w:eastAsia="zh-CN"/>
        </w:rPr>
      </w:pPr>
      <w:r>
        <w:rPr>
          <w:rFonts w:hint="eastAsia" w:ascii="宋体" w:hAnsi="宋体" w:eastAsia="宋体" w:cs="宋体"/>
          <w:b/>
          <w:color w:val="auto"/>
          <w:sz w:val="40"/>
          <w:szCs w:val="40"/>
          <w:highlight w:val="none"/>
        </w:rPr>
        <w:t>标的所属行业：</w:t>
      </w:r>
      <w:r>
        <w:rPr>
          <w:rFonts w:hint="eastAsia" w:ascii="宋体" w:hAnsi="宋体" w:eastAsia="宋体" w:cs="宋体"/>
          <w:b/>
          <w:color w:val="auto"/>
          <w:sz w:val="40"/>
          <w:szCs w:val="40"/>
          <w:highlight w:val="none"/>
          <w:lang w:eastAsia="zh-CN"/>
        </w:rPr>
        <w:t>餐饮业</w:t>
      </w:r>
    </w:p>
    <w:p w14:paraId="6653A386">
      <w:pPr>
        <w:autoSpaceDE w:val="0"/>
        <w:autoSpaceDN w:val="0"/>
        <w:adjustRightInd w:val="0"/>
        <w:spacing w:line="360" w:lineRule="auto"/>
        <w:ind w:leftChars="-95" w:hanging="199" w:hangingChars="45"/>
        <w:jc w:val="left"/>
        <w:rPr>
          <w:rFonts w:hint="eastAsia" w:ascii="宋体" w:hAnsi="宋体" w:eastAsia="宋体" w:cs="宋体"/>
          <w:b/>
          <w:color w:val="auto"/>
          <w:sz w:val="44"/>
          <w:szCs w:val="44"/>
          <w:highlight w:val="none"/>
        </w:rPr>
      </w:pPr>
    </w:p>
    <w:p w14:paraId="39FDE10D">
      <w:pPr>
        <w:autoSpaceDE w:val="0"/>
        <w:autoSpaceDN w:val="0"/>
        <w:adjustRightInd w:val="0"/>
        <w:spacing w:line="360" w:lineRule="auto"/>
        <w:jc w:val="center"/>
        <w:rPr>
          <w:rFonts w:hint="eastAsia" w:ascii="宋体" w:hAnsi="宋体" w:eastAsia="宋体" w:cs="宋体"/>
          <w:b/>
          <w:color w:val="auto"/>
          <w:sz w:val="44"/>
          <w:szCs w:val="44"/>
          <w:highlight w:val="none"/>
          <w:u w:val="single"/>
        </w:rPr>
      </w:pPr>
    </w:p>
    <w:p w14:paraId="0F1FCAF9">
      <w:pPr>
        <w:jc w:val="center"/>
        <w:rPr>
          <w:rFonts w:hint="eastAsia" w:ascii="宋体" w:hAnsi="宋体" w:eastAsia="宋体" w:cs="宋体"/>
          <w:b/>
          <w:color w:val="auto"/>
          <w:sz w:val="44"/>
          <w:szCs w:val="44"/>
          <w:highlight w:val="none"/>
        </w:rPr>
      </w:pPr>
    </w:p>
    <w:p w14:paraId="4F992EBB">
      <w:pPr>
        <w:rPr>
          <w:rFonts w:hint="eastAsia" w:ascii="宋体" w:hAnsi="宋体" w:eastAsia="宋体" w:cs="宋体"/>
          <w:b/>
          <w:color w:val="auto"/>
          <w:sz w:val="44"/>
          <w:szCs w:val="44"/>
          <w:highlight w:val="none"/>
        </w:rPr>
      </w:pPr>
    </w:p>
    <w:p w14:paraId="6063E584">
      <w:pPr>
        <w:rPr>
          <w:rFonts w:hint="eastAsia" w:ascii="宋体" w:hAnsi="宋体" w:eastAsia="宋体" w:cs="宋体"/>
          <w:b/>
          <w:color w:val="auto"/>
          <w:sz w:val="44"/>
          <w:szCs w:val="44"/>
          <w:highlight w:val="none"/>
        </w:rPr>
      </w:pPr>
    </w:p>
    <w:p w14:paraId="732A073A">
      <w:pPr>
        <w:rPr>
          <w:rFonts w:hint="eastAsia" w:ascii="宋体" w:hAnsi="宋体" w:eastAsia="宋体" w:cs="宋体"/>
          <w:b/>
          <w:color w:val="auto"/>
          <w:sz w:val="44"/>
          <w:szCs w:val="44"/>
          <w:highlight w:val="none"/>
        </w:rPr>
      </w:pPr>
    </w:p>
    <w:p w14:paraId="68E99855">
      <w:pPr>
        <w:spacing w:line="360" w:lineRule="auto"/>
        <w:jc w:val="center"/>
        <w:rPr>
          <w:rFonts w:hint="eastAsia" w:ascii="宋体" w:hAnsi="宋体" w:eastAsia="宋体" w:cs="宋体"/>
          <w:b/>
          <w:color w:val="auto"/>
          <w:sz w:val="44"/>
          <w:szCs w:val="44"/>
          <w:highlight w:val="none"/>
          <w:lang w:eastAsia="zh-CN"/>
        </w:rPr>
      </w:pPr>
      <w:r>
        <w:rPr>
          <w:rFonts w:hint="eastAsia" w:ascii="宋体" w:hAnsi="宋体" w:eastAsia="宋体" w:cs="宋体"/>
          <w:b/>
          <w:color w:val="auto"/>
          <w:sz w:val="44"/>
          <w:szCs w:val="44"/>
          <w:highlight w:val="none"/>
          <w:lang w:eastAsia="zh-CN"/>
        </w:rPr>
        <w:t>苏州信达顺工程建设咨询有限公司</w:t>
      </w:r>
    </w:p>
    <w:p w14:paraId="7BA44BF9">
      <w:pPr>
        <w:jc w:val="center"/>
        <w:rPr>
          <w:rFonts w:hint="eastAsia" w:ascii="宋体" w:hAnsi="宋体" w:eastAsia="宋体" w:cs="宋体"/>
          <w:b/>
          <w:color w:val="auto"/>
          <w:sz w:val="44"/>
          <w:szCs w:val="44"/>
          <w:highlight w:val="none"/>
        </w:rPr>
        <w:sectPr>
          <w:headerReference r:id="rId5" w:type="first"/>
          <w:headerReference r:id="rId3" w:type="default"/>
          <w:footerReference r:id="rId6" w:type="default"/>
          <w:headerReference r:id="rId4" w:type="even"/>
          <w:footerReference r:id="rId7" w:type="even"/>
          <w:pgSz w:w="11907" w:h="16840"/>
          <w:pgMar w:top="1134" w:right="242" w:bottom="1418" w:left="1365" w:header="567" w:footer="794" w:gutter="0"/>
          <w:pgNumType w:fmt="decimal" w:start="0"/>
          <w:cols w:space="720" w:num="1"/>
          <w:titlePg/>
          <w:docGrid w:type="lines" w:linePitch="305" w:charSpace="0"/>
        </w:sectPr>
      </w:pPr>
      <w:r>
        <w:rPr>
          <w:rFonts w:hint="eastAsia" w:ascii="宋体" w:hAnsi="宋体" w:eastAsia="宋体" w:cs="宋体"/>
          <w:b/>
          <w:color w:val="auto"/>
          <w:sz w:val="44"/>
          <w:szCs w:val="44"/>
          <w:highlight w:val="none"/>
          <w:lang w:eastAsia="zh-CN"/>
        </w:rPr>
        <w:t>2026</w:t>
      </w:r>
      <w:r>
        <w:rPr>
          <w:rFonts w:hint="eastAsia" w:ascii="宋体" w:hAnsi="宋体" w:eastAsia="宋体" w:cs="宋体"/>
          <w:b/>
          <w:color w:val="auto"/>
          <w:sz w:val="44"/>
          <w:szCs w:val="44"/>
          <w:highlight w:val="none"/>
        </w:rPr>
        <w:t>年</w:t>
      </w:r>
      <w:r>
        <w:rPr>
          <w:rFonts w:hint="eastAsia" w:ascii="宋体" w:hAnsi="宋体" w:cs="宋体"/>
          <w:b/>
          <w:color w:val="auto"/>
          <w:sz w:val="44"/>
          <w:szCs w:val="44"/>
          <w:highlight w:val="none"/>
          <w:lang w:val="en-US" w:eastAsia="zh-CN"/>
        </w:rPr>
        <w:t>04</w:t>
      </w:r>
      <w:r>
        <w:rPr>
          <w:rFonts w:hint="eastAsia" w:ascii="宋体" w:hAnsi="宋体" w:eastAsia="宋体" w:cs="宋体"/>
          <w:b/>
          <w:color w:val="auto"/>
          <w:sz w:val="44"/>
          <w:szCs w:val="44"/>
          <w:highlight w:val="none"/>
        </w:rPr>
        <w:t>月</w:t>
      </w:r>
      <w:r>
        <w:rPr>
          <w:rFonts w:hint="eastAsia" w:ascii="宋体" w:hAnsi="宋体" w:cs="宋体"/>
          <w:b/>
          <w:color w:val="auto"/>
          <w:sz w:val="44"/>
          <w:szCs w:val="44"/>
          <w:highlight w:val="none"/>
          <w:lang w:val="en-US" w:eastAsia="zh-CN"/>
        </w:rPr>
        <w:t>16</w:t>
      </w:r>
      <w:r>
        <w:rPr>
          <w:rFonts w:hint="eastAsia" w:ascii="宋体" w:hAnsi="宋体" w:eastAsia="宋体" w:cs="宋体"/>
          <w:b/>
          <w:color w:val="auto"/>
          <w:sz w:val="44"/>
          <w:szCs w:val="44"/>
          <w:highlight w:val="none"/>
        </w:rPr>
        <w:t>日</w:t>
      </w:r>
    </w:p>
    <w:p w14:paraId="14F68B3B">
      <w:pPr>
        <w:jc w:val="center"/>
        <w:rPr>
          <w:rFonts w:hint="eastAsia" w:ascii="宋体" w:hAnsi="宋体" w:eastAsia="宋体" w:cs="宋体"/>
          <w:b/>
          <w:color w:val="auto"/>
          <w:sz w:val="36"/>
          <w:szCs w:val="36"/>
          <w:highlight w:val="none"/>
        </w:rPr>
      </w:pPr>
      <w:r>
        <w:rPr>
          <w:rFonts w:hint="eastAsia" w:ascii="宋体" w:hAnsi="宋体" w:eastAsia="宋体" w:cs="宋体"/>
          <w:b/>
          <w:color w:val="auto"/>
          <w:sz w:val="36"/>
          <w:szCs w:val="36"/>
          <w:highlight w:val="none"/>
        </w:rPr>
        <w:t>目录</w:t>
      </w:r>
      <w:bookmarkStart w:id="0" w:name="_Toc158691765"/>
    </w:p>
    <w:p w14:paraId="49038AD1">
      <w:pPr>
        <w:pStyle w:val="37"/>
        <w:tabs>
          <w:tab w:val="right" w:leader="dot" w:pos="9660"/>
          <w:tab w:val="clear" w:pos="9450"/>
        </w:tabs>
        <w:rPr>
          <w:highlight w:val="none"/>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TOC \o "1-3" \h \z \u </w:instrText>
      </w:r>
      <w:r>
        <w:rPr>
          <w:rFonts w:hint="eastAsia" w:ascii="宋体" w:hAnsi="宋体" w:eastAsia="宋体" w:cs="宋体"/>
          <w:color w:val="auto"/>
          <w:highlight w:val="none"/>
        </w:rPr>
        <w:fldChar w:fldCharType="separate"/>
      </w:r>
      <w:r>
        <w:rPr>
          <w:rFonts w:hint="eastAsia" w:ascii="宋体" w:hAnsi="宋体" w:eastAsia="宋体" w:cs="宋体"/>
          <w:color w:val="auto"/>
          <w:highlight w:val="none"/>
        </w:rPr>
        <w:fldChar w:fldCharType="begin"/>
      </w:r>
      <w:r>
        <w:rPr>
          <w:rFonts w:hint="eastAsia" w:ascii="宋体" w:hAnsi="宋体" w:eastAsia="宋体" w:cs="宋体"/>
          <w:highlight w:val="none"/>
        </w:rPr>
        <w:instrText xml:space="preserve"> HYPERLINK \l _Toc25984 </w:instrText>
      </w:r>
      <w:r>
        <w:rPr>
          <w:rFonts w:hint="eastAsia" w:ascii="宋体" w:hAnsi="宋体" w:eastAsia="宋体" w:cs="宋体"/>
          <w:highlight w:val="none"/>
        </w:rPr>
        <w:fldChar w:fldCharType="separate"/>
      </w:r>
      <w:r>
        <w:rPr>
          <w:rFonts w:hint="eastAsia" w:ascii="宋体" w:hAnsi="宋体" w:eastAsia="宋体" w:cs="宋体"/>
          <w:highlight w:val="none"/>
        </w:rPr>
        <w:t>第一章 投标邀请</w:t>
      </w:r>
      <w:r>
        <w:rPr>
          <w:highlight w:val="none"/>
        </w:rPr>
        <w:tab/>
      </w:r>
      <w:r>
        <w:rPr>
          <w:highlight w:val="none"/>
        </w:rPr>
        <w:fldChar w:fldCharType="begin"/>
      </w:r>
      <w:r>
        <w:rPr>
          <w:highlight w:val="none"/>
        </w:rPr>
        <w:instrText xml:space="preserve"> PAGEREF _Toc25984 \h </w:instrText>
      </w:r>
      <w:r>
        <w:rPr>
          <w:highlight w:val="none"/>
        </w:rPr>
        <w:fldChar w:fldCharType="separate"/>
      </w:r>
      <w:r>
        <w:rPr>
          <w:highlight w:val="none"/>
        </w:rPr>
        <w:t>1</w:t>
      </w:r>
      <w:r>
        <w:rPr>
          <w:highlight w:val="none"/>
        </w:rPr>
        <w:fldChar w:fldCharType="end"/>
      </w:r>
      <w:r>
        <w:rPr>
          <w:rFonts w:hint="eastAsia" w:ascii="宋体" w:hAnsi="宋体" w:eastAsia="宋体" w:cs="宋体"/>
          <w:color w:val="auto"/>
          <w:highlight w:val="none"/>
        </w:rPr>
        <w:fldChar w:fldCharType="end"/>
      </w:r>
    </w:p>
    <w:p w14:paraId="2E82CA64">
      <w:pPr>
        <w:pStyle w:val="37"/>
        <w:tabs>
          <w:tab w:val="right" w:leader="dot" w:pos="9660"/>
          <w:tab w:val="clear" w:pos="9450"/>
        </w:tabs>
        <w:rPr>
          <w:highlight w:val="none"/>
        </w:rPr>
      </w:pPr>
      <w:r>
        <w:rPr>
          <w:rFonts w:hint="eastAsia" w:ascii="宋体" w:hAnsi="宋体" w:eastAsia="宋体" w:cs="宋体"/>
          <w:color w:val="auto"/>
          <w:szCs w:val="36"/>
          <w:highlight w:val="none"/>
        </w:rPr>
        <w:fldChar w:fldCharType="begin"/>
      </w:r>
      <w:r>
        <w:rPr>
          <w:rFonts w:hint="eastAsia" w:ascii="宋体" w:hAnsi="宋体" w:eastAsia="宋体" w:cs="宋体"/>
          <w:szCs w:val="36"/>
          <w:highlight w:val="none"/>
        </w:rPr>
        <w:instrText xml:space="preserve"> HYPERLINK \l _Toc610 </w:instrText>
      </w:r>
      <w:r>
        <w:rPr>
          <w:rFonts w:hint="eastAsia" w:ascii="宋体" w:hAnsi="宋体" w:eastAsia="宋体" w:cs="宋体"/>
          <w:szCs w:val="36"/>
          <w:highlight w:val="none"/>
        </w:rPr>
        <w:fldChar w:fldCharType="separate"/>
      </w:r>
      <w:r>
        <w:rPr>
          <w:rFonts w:hint="eastAsia" w:ascii="宋体" w:hAnsi="宋体" w:eastAsia="宋体" w:cs="宋体"/>
          <w:highlight w:val="none"/>
        </w:rPr>
        <w:t>第二章 投标人须知</w:t>
      </w:r>
      <w:r>
        <w:rPr>
          <w:highlight w:val="none"/>
        </w:rPr>
        <w:tab/>
      </w:r>
      <w:r>
        <w:rPr>
          <w:highlight w:val="none"/>
        </w:rPr>
        <w:fldChar w:fldCharType="begin"/>
      </w:r>
      <w:r>
        <w:rPr>
          <w:highlight w:val="none"/>
        </w:rPr>
        <w:instrText xml:space="preserve"> PAGEREF _Toc610 \h </w:instrText>
      </w:r>
      <w:r>
        <w:rPr>
          <w:highlight w:val="none"/>
        </w:rPr>
        <w:fldChar w:fldCharType="separate"/>
      </w:r>
      <w:r>
        <w:rPr>
          <w:highlight w:val="none"/>
        </w:rPr>
        <w:t>4</w:t>
      </w:r>
      <w:r>
        <w:rPr>
          <w:highlight w:val="none"/>
        </w:rPr>
        <w:fldChar w:fldCharType="end"/>
      </w:r>
      <w:r>
        <w:rPr>
          <w:rFonts w:hint="eastAsia" w:ascii="宋体" w:hAnsi="宋体" w:eastAsia="宋体" w:cs="宋体"/>
          <w:color w:val="auto"/>
          <w:szCs w:val="36"/>
          <w:highlight w:val="none"/>
        </w:rPr>
        <w:fldChar w:fldCharType="end"/>
      </w:r>
    </w:p>
    <w:p w14:paraId="0F98C712">
      <w:pPr>
        <w:pStyle w:val="47"/>
        <w:tabs>
          <w:tab w:val="right" w:leader="dot" w:pos="9660"/>
          <w:tab w:val="clear" w:pos="9450"/>
        </w:tabs>
        <w:rPr>
          <w:highlight w:val="none"/>
        </w:rPr>
      </w:pPr>
      <w:r>
        <w:rPr>
          <w:rFonts w:hint="eastAsia" w:ascii="宋体" w:hAnsi="宋体" w:eastAsia="宋体" w:cs="宋体"/>
          <w:color w:val="auto"/>
          <w:szCs w:val="36"/>
          <w:highlight w:val="none"/>
        </w:rPr>
        <w:fldChar w:fldCharType="begin"/>
      </w:r>
      <w:r>
        <w:rPr>
          <w:rFonts w:hint="eastAsia" w:ascii="宋体" w:hAnsi="宋体" w:eastAsia="宋体" w:cs="宋体"/>
          <w:szCs w:val="36"/>
          <w:highlight w:val="none"/>
        </w:rPr>
        <w:instrText xml:space="preserve"> HYPERLINK \l _Toc27163 </w:instrText>
      </w:r>
      <w:r>
        <w:rPr>
          <w:rFonts w:hint="eastAsia" w:ascii="宋体" w:hAnsi="宋体" w:eastAsia="宋体" w:cs="宋体"/>
          <w:szCs w:val="36"/>
          <w:highlight w:val="none"/>
        </w:rPr>
        <w:fldChar w:fldCharType="separate"/>
      </w:r>
      <w:r>
        <w:rPr>
          <w:rFonts w:hint="eastAsia" w:ascii="宋体" w:hAnsi="宋体" w:eastAsia="宋体" w:cs="宋体"/>
          <w:bCs/>
          <w:szCs w:val="32"/>
          <w:highlight w:val="none"/>
        </w:rPr>
        <w:t>一、总则</w:t>
      </w:r>
      <w:r>
        <w:rPr>
          <w:highlight w:val="none"/>
        </w:rPr>
        <w:tab/>
      </w:r>
      <w:r>
        <w:rPr>
          <w:highlight w:val="none"/>
        </w:rPr>
        <w:fldChar w:fldCharType="begin"/>
      </w:r>
      <w:r>
        <w:rPr>
          <w:highlight w:val="none"/>
        </w:rPr>
        <w:instrText xml:space="preserve"> PAGEREF _Toc27163 \h </w:instrText>
      </w:r>
      <w:r>
        <w:rPr>
          <w:highlight w:val="none"/>
        </w:rPr>
        <w:fldChar w:fldCharType="separate"/>
      </w:r>
      <w:r>
        <w:rPr>
          <w:highlight w:val="none"/>
        </w:rPr>
        <w:t>4</w:t>
      </w:r>
      <w:r>
        <w:rPr>
          <w:highlight w:val="none"/>
        </w:rPr>
        <w:fldChar w:fldCharType="end"/>
      </w:r>
      <w:r>
        <w:rPr>
          <w:rFonts w:hint="eastAsia" w:ascii="宋体" w:hAnsi="宋体" w:eastAsia="宋体" w:cs="宋体"/>
          <w:color w:val="auto"/>
          <w:szCs w:val="36"/>
          <w:highlight w:val="none"/>
        </w:rPr>
        <w:fldChar w:fldCharType="end"/>
      </w:r>
    </w:p>
    <w:p w14:paraId="78EB2D10">
      <w:pPr>
        <w:pStyle w:val="47"/>
        <w:tabs>
          <w:tab w:val="right" w:leader="dot" w:pos="9660"/>
          <w:tab w:val="clear" w:pos="9450"/>
        </w:tabs>
        <w:rPr>
          <w:highlight w:val="none"/>
        </w:rPr>
      </w:pPr>
      <w:r>
        <w:rPr>
          <w:rFonts w:hint="eastAsia" w:ascii="宋体" w:hAnsi="宋体" w:eastAsia="宋体" w:cs="宋体"/>
          <w:color w:val="auto"/>
          <w:szCs w:val="36"/>
          <w:highlight w:val="none"/>
        </w:rPr>
        <w:fldChar w:fldCharType="begin"/>
      </w:r>
      <w:r>
        <w:rPr>
          <w:rFonts w:hint="eastAsia" w:ascii="宋体" w:hAnsi="宋体" w:eastAsia="宋体" w:cs="宋体"/>
          <w:szCs w:val="36"/>
          <w:highlight w:val="none"/>
        </w:rPr>
        <w:instrText xml:space="preserve"> HYPERLINK \l _Toc13953 </w:instrText>
      </w:r>
      <w:r>
        <w:rPr>
          <w:rFonts w:hint="eastAsia" w:ascii="宋体" w:hAnsi="宋体" w:eastAsia="宋体" w:cs="宋体"/>
          <w:szCs w:val="36"/>
          <w:highlight w:val="none"/>
        </w:rPr>
        <w:fldChar w:fldCharType="separate"/>
      </w:r>
      <w:r>
        <w:rPr>
          <w:rFonts w:hint="eastAsia" w:ascii="宋体" w:hAnsi="宋体" w:eastAsia="宋体" w:cs="宋体"/>
          <w:bCs/>
          <w:szCs w:val="32"/>
          <w:highlight w:val="none"/>
        </w:rPr>
        <w:t>二、招标文件</w:t>
      </w:r>
      <w:r>
        <w:rPr>
          <w:highlight w:val="none"/>
        </w:rPr>
        <w:tab/>
      </w:r>
      <w:r>
        <w:rPr>
          <w:highlight w:val="none"/>
        </w:rPr>
        <w:fldChar w:fldCharType="begin"/>
      </w:r>
      <w:r>
        <w:rPr>
          <w:highlight w:val="none"/>
        </w:rPr>
        <w:instrText xml:space="preserve"> PAGEREF _Toc13953 \h </w:instrText>
      </w:r>
      <w:r>
        <w:rPr>
          <w:highlight w:val="none"/>
        </w:rPr>
        <w:fldChar w:fldCharType="separate"/>
      </w:r>
      <w:r>
        <w:rPr>
          <w:highlight w:val="none"/>
        </w:rPr>
        <w:t>4</w:t>
      </w:r>
      <w:r>
        <w:rPr>
          <w:highlight w:val="none"/>
        </w:rPr>
        <w:fldChar w:fldCharType="end"/>
      </w:r>
      <w:r>
        <w:rPr>
          <w:rFonts w:hint="eastAsia" w:ascii="宋体" w:hAnsi="宋体" w:eastAsia="宋体" w:cs="宋体"/>
          <w:color w:val="auto"/>
          <w:szCs w:val="36"/>
          <w:highlight w:val="none"/>
        </w:rPr>
        <w:fldChar w:fldCharType="end"/>
      </w:r>
    </w:p>
    <w:p w14:paraId="18E53DF5">
      <w:pPr>
        <w:pStyle w:val="47"/>
        <w:tabs>
          <w:tab w:val="right" w:leader="dot" w:pos="9660"/>
          <w:tab w:val="clear" w:pos="9450"/>
        </w:tabs>
        <w:rPr>
          <w:highlight w:val="none"/>
        </w:rPr>
      </w:pPr>
      <w:r>
        <w:rPr>
          <w:rFonts w:hint="eastAsia" w:ascii="宋体" w:hAnsi="宋体" w:eastAsia="宋体" w:cs="宋体"/>
          <w:color w:val="auto"/>
          <w:szCs w:val="36"/>
          <w:highlight w:val="none"/>
        </w:rPr>
        <w:fldChar w:fldCharType="begin"/>
      </w:r>
      <w:r>
        <w:rPr>
          <w:rFonts w:hint="eastAsia" w:ascii="宋体" w:hAnsi="宋体" w:eastAsia="宋体" w:cs="宋体"/>
          <w:szCs w:val="36"/>
          <w:highlight w:val="none"/>
        </w:rPr>
        <w:instrText xml:space="preserve"> HYPERLINK \l _Toc19087 </w:instrText>
      </w:r>
      <w:r>
        <w:rPr>
          <w:rFonts w:hint="eastAsia" w:ascii="宋体" w:hAnsi="宋体" w:eastAsia="宋体" w:cs="宋体"/>
          <w:szCs w:val="36"/>
          <w:highlight w:val="none"/>
        </w:rPr>
        <w:fldChar w:fldCharType="separate"/>
      </w:r>
      <w:r>
        <w:rPr>
          <w:rFonts w:hint="eastAsia" w:ascii="宋体" w:hAnsi="宋体" w:eastAsia="宋体" w:cs="宋体"/>
          <w:bCs/>
          <w:szCs w:val="32"/>
          <w:highlight w:val="none"/>
        </w:rPr>
        <w:t>三、投标文件的编制</w:t>
      </w:r>
      <w:r>
        <w:rPr>
          <w:highlight w:val="none"/>
        </w:rPr>
        <w:tab/>
      </w:r>
      <w:r>
        <w:rPr>
          <w:highlight w:val="none"/>
        </w:rPr>
        <w:fldChar w:fldCharType="begin"/>
      </w:r>
      <w:r>
        <w:rPr>
          <w:highlight w:val="none"/>
        </w:rPr>
        <w:instrText xml:space="preserve"> PAGEREF _Toc19087 \h </w:instrText>
      </w:r>
      <w:r>
        <w:rPr>
          <w:highlight w:val="none"/>
        </w:rPr>
        <w:fldChar w:fldCharType="separate"/>
      </w:r>
      <w:r>
        <w:rPr>
          <w:highlight w:val="none"/>
        </w:rPr>
        <w:t>5</w:t>
      </w:r>
      <w:r>
        <w:rPr>
          <w:highlight w:val="none"/>
        </w:rPr>
        <w:fldChar w:fldCharType="end"/>
      </w:r>
      <w:r>
        <w:rPr>
          <w:rFonts w:hint="eastAsia" w:ascii="宋体" w:hAnsi="宋体" w:eastAsia="宋体" w:cs="宋体"/>
          <w:color w:val="auto"/>
          <w:szCs w:val="36"/>
          <w:highlight w:val="none"/>
        </w:rPr>
        <w:fldChar w:fldCharType="end"/>
      </w:r>
    </w:p>
    <w:p w14:paraId="5F752CCF">
      <w:pPr>
        <w:pStyle w:val="47"/>
        <w:tabs>
          <w:tab w:val="right" w:leader="dot" w:pos="9660"/>
          <w:tab w:val="clear" w:pos="9450"/>
        </w:tabs>
        <w:rPr>
          <w:highlight w:val="none"/>
        </w:rPr>
      </w:pPr>
      <w:r>
        <w:rPr>
          <w:rFonts w:hint="eastAsia" w:ascii="宋体" w:hAnsi="宋体" w:eastAsia="宋体" w:cs="宋体"/>
          <w:color w:val="auto"/>
          <w:szCs w:val="36"/>
          <w:highlight w:val="none"/>
        </w:rPr>
        <w:fldChar w:fldCharType="begin"/>
      </w:r>
      <w:r>
        <w:rPr>
          <w:rFonts w:hint="eastAsia" w:ascii="宋体" w:hAnsi="宋体" w:eastAsia="宋体" w:cs="宋体"/>
          <w:szCs w:val="36"/>
          <w:highlight w:val="none"/>
        </w:rPr>
        <w:instrText xml:space="preserve"> HYPERLINK \l _Toc22231 </w:instrText>
      </w:r>
      <w:r>
        <w:rPr>
          <w:rFonts w:hint="eastAsia" w:ascii="宋体" w:hAnsi="宋体" w:eastAsia="宋体" w:cs="宋体"/>
          <w:szCs w:val="36"/>
          <w:highlight w:val="none"/>
        </w:rPr>
        <w:fldChar w:fldCharType="separate"/>
      </w:r>
      <w:r>
        <w:rPr>
          <w:rFonts w:hint="eastAsia" w:ascii="宋体" w:hAnsi="宋体" w:eastAsia="宋体" w:cs="宋体"/>
          <w:bCs/>
          <w:szCs w:val="32"/>
          <w:highlight w:val="none"/>
        </w:rPr>
        <w:t>四、投标文件的递交</w:t>
      </w:r>
      <w:r>
        <w:rPr>
          <w:highlight w:val="none"/>
        </w:rPr>
        <w:tab/>
      </w:r>
      <w:r>
        <w:rPr>
          <w:highlight w:val="none"/>
        </w:rPr>
        <w:fldChar w:fldCharType="begin"/>
      </w:r>
      <w:r>
        <w:rPr>
          <w:highlight w:val="none"/>
        </w:rPr>
        <w:instrText xml:space="preserve"> PAGEREF _Toc22231 \h </w:instrText>
      </w:r>
      <w:r>
        <w:rPr>
          <w:highlight w:val="none"/>
        </w:rPr>
        <w:fldChar w:fldCharType="separate"/>
      </w:r>
      <w:r>
        <w:rPr>
          <w:highlight w:val="none"/>
        </w:rPr>
        <w:t>6</w:t>
      </w:r>
      <w:r>
        <w:rPr>
          <w:highlight w:val="none"/>
        </w:rPr>
        <w:fldChar w:fldCharType="end"/>
      </w:r>
      <w:r>
        <w:rPr>
          <w:rFonts w:hint="eastAsia" w:ascii="宋体" w:hAnsi="宋体" w:eastAsia="宋体" w:cs="宋体"/>
          <w:color w:val="auto"/>
          <w:szCs w:val="36"/>
          <w:highlight w:val="none"/>
        </w:rPr>
        <w:fldChar w:fldCharType="end"/>
      </w:r>
    </w:p>
    <w:p w14:paraId="7F16AFBB">
      <w:pPr>
        <w:pStyle w:val="47"/>
        <w:tabs>
          <w:tab w:val="right" w:leader="dot" w:pos="9660"/>
          <w:tab w:val="clear" w:pos="9450"/>
        </w:tabs>
        <w:rPr>
          <w:highlight w:val="none"/>
        </w:rPr>
      </w:pPr>
      <w:r>
        <w:rPr>
          <w:rFonts w:hint="eastAsia" w:ascii="宋体" w:hAnsi="宋体" w:eastAsia="宋体" w:cs="宋体"/>
          <w:color w:val="auto"/>
          <w:szCs w:val="36"/>
          <w:highlight w:val="none"/>
        </w:rPr>
        <w:fldChar w:fldCharType="begin"/>
      </w:r>
      <w:r>
        <w:rPr>
          <w:rFonts w:hint="eastAsia" w:ascii="宋体" w:hAnsi="宋体" w:eastAsia="宋体" w:cs="宋体"/>
          <w:szCs w:val="36"/>
          <w:highlight w:val="none"/>
        </w:rPr>
        <w:instrText xml:space="preserve"> HYPERLINK \l _Toc31767 </w:instrText>
      </w:r>
      <w:r>
        <w:rPr>
          <w:rFonts w:hint="eastAsia" w:ascii="宋体" w:hAnsi="宋体" w:eastAsia="宋体" w:cs="宋体"/>
          <w:szCs w:val="36"/>
          <w:highlight w:val="none"/>
        </w:rPr>
        <w:fldChar w:fldCharType="separate"/>
      </w:r>
      <w:r>
        <w:rPr>
          <w:rFonts w:hint="eastAsia" w:ascii="宋体" w:hAnsi="宋体" w:eastAsia="宋体" w:cs="宋体"/>
          <w:bCs/>
          <w:szCs w:val="32"/>
          <w:highlight w:val="none"/>
        </w:rPr>
        <w:t>五、开标与评审</w:t>
      </w:r>
      <w:r>
        <w:rPr>
          <w:highlight w:val="none"/>
        </w:rPr>
        <w:tab/>
      </w:r>
      <w:r>
        <w:rPr>
          <w:highlight w:val="none"/>
        </w:rPr>
        <w:fldChar w:fldCharType="begin"/>
      </w:r>
      <w:r>
        <w:rPr>
          <w:highlight w:val="none"/>
        </w:rPr>
        <w:instrText xml:space="preserve"> PAGEREF _Toc31767 \h </w:instrText>
      </w:r>
      <w:r>
        <w:rPr>
          <w:highlight w:val="none"/>
        </w:rPr>
        <w:fldChar w:fldCharType="separate"/>
      </w:r>
      <w:r>
        <w:rPr>
          <w:highlight w:val="none"/>
        </w:rPr>
        <w:t>7</w:t>
      </w:r>
      <w:r>
        <w:rPr>
          <w:highlight w:val="none"/>
        </w:rPr>
        <w:fldChar w:fldCharType="end"/>
      </w:r>
      <w:r>
        <w:rPr>
          <w:rFonts w:hint="eastAsia" w:ascii="宋体" w:hAnsi="宋体" w:eastAsia="宋体" w:cs="宋体"/>
          <w:color w:val="auto"/>
          <w:szCs w:val="36"/>
          <w:highlight w:val="none"/>
        </w:rPr>
        <w:fldChar w:fldCharType="end"/>
      </w:r>
    </w:p>
    <w:p w14:paraId="4ED7937D">
      <w:pPr>
        <w:pStyle w:val="47"/>
        <w:tabs>
          <w:tab w:val="right" w:leader="dot" w:pos="9660"/>
          <w:tab w:val="clear" w:pos="9450"/>
        </w:tabs>
        <w:rPr>
          <w:highlight w:val="none"/>
        </w:rPr>
      </w:pPr>
      <w:r>
        <w:rPr>
          <w:rFonts w:hint="eastAsia" w:ascii="宋体" w:hAnsi="宋体" w:eastAsia="宋体" w:cs="宋体"/>
          <w:color w:val="auto"/>
          <w:szCs w:val="36"/>
          <w:highlight w:val="none"/>
        </w:rPr>
        <w:fldChar w:fldCharType="begin"/>
      </w:r>
      <w:r>
        <w:rPr>
          <w:rFonts w:hint="eastAsia" w:ascii="宋体" w:hAnsi="宋体" w:eastAsia="宋体" w:cs="宋体"/>
          <w:szCs w:val="36"/>
          <w:highlight w:val="none"/>
        </w:rPr>
        <w:instrText xml:space="preserve"> HYPERLINK \l _Toc954 </w:instrText>
      </w:r>
      <w:r>
        <w:rPr>
          <w:rFonts w:hint="eastAsia" w:ascii="宋体" w:hAnsi="宋体" w:eastAsia="宋体" w:cs="宋体"/>
          <w:szCs w:val="36"/>
          <w:highlight w:val="none"/>
        </w:rPr>
        <w:fldChar w:fldCharType="separate"/>
      </w:r>
      <w:r>
        <w:rPr>
          <w:rFonts w:hint="eastAsia" w:ascii="宋体" w:hAnsi="宋体" w:eastAsia="宋体" w:cs="宋体"/>
          <w:bCs/>
          <w:szCs w:val="32"/>
          <w:highlight w:val="none"/>
        </w:rPr>
        <w:t>六、定标</w:t>
      </w:r>
      <w:r>
        <w:rPr>
          <w:highlight w:val="none"/>
        </w:rPr>
        <w:tab/>
      </w:r>
      <w:r>
        <w:rPr>
          <w:highlight w:val="none"/>
        </w:rPr>
        <w:fldChar w:fldCharType="begin"/>
      </w:r>
      <w:r>
        <w:rPr>
          <w:highlight w:val="none"/>
        </w:rPr>
        <w:instrText xml:space="preserve"> PAGEREF _Toc954 \h </w:instrText>
      </w:r>
      <w:r>
        <w:rPr>
          <w:highlight w:val="none"/>
        </w:rPr>
        <w:fldChar w:fldCharType="separate"/>
      </w:r>
      <w:r>
        <w:rPr>
          <w:highlight w:val="none"/>
        </w:rPr>
        <w:t>11</w:t>
      </w:r>
      <w:r>
        <w:rPr>
          <w:highlight w:val="none"/>
        </w:rPr>
        <w:fldChar w:fldCharType="end"/>
      </w:r>
      <w:r>
        <w:rPr>
          <w:rFonts w:hint="eastAsia" w:ascii="宋体" w:hAnsi="宋体" w:eastAsia="宋体" w:cs="宋体"/>
          <w:color w:val="auto"/>
          <w:szCs w:val="36"/>
          <w:highlight w:val="none"/>
        </w:rPr>
        <w:fldChar w:fldCharType="end"/>
      </w:r>
    </w:p>
    <w:p w14:paraId="29A8FE3E">
      <w:pPr>
        <w:pStyle w:val="47"/>
        <w:tabs>
          <w:tab w:val="right" w:leader="dot" w:pos="9660"/>
          <w:tab w:val="clear" w:pos="9450"/>
        </w:tabs>
        <w:rPr>
          <w:highlight w:val="none"/>
        </w:rPr>
      </w:pPr>
      <w:r>
        <w:rPr>
          <w:rFonts w:hint="eastAsia" w:ascii="宋体" w:hAnsi="宋体" w:eastAsia="宋体" w:cs="宋体"/>
          <w:color w:val="auto"/>
          <w:szCs w:val="36"/>
          <w:highlight w:val="none"/>
        </w:rPr>
        <w:fldChar w:fldCharType="begin"/>
      </w:r>
      <w:r>
        <w:rPr>
          <w:rFonts w:hint="eastAsia" w:ascii="宋体" w:hAnsi="宋体" w:eastAsia="宋体" w:cs="宋体"/>
          <w:szCs w:val="36"/>
          <w:highlight w:val="none"/>
        </w:rPr>
        <w:instrText xml:space="preserve"> HYPERLINK \l _Toc17817 </w:instrText>
      </w:r>
      <w:r>
        <w:rPr>
          <w:rFonts w:hint="eastAsia" w:ascii="宋体" w:hAnsi="宋体" w:eastAsia="宋体" w:cs="宋体"/>
          <w:szCs w:val="36"/>
          <w:highlight w:val="none"/>
        </w:rPr>
        <w:fldChar w:fldCharType="separate"/>
      </w:r>
      <w:r>
        <w:rPr>
          <w:rFonts w:hint="eastAsia" w:ascii="宋体" w:hAnsi="宋体" w:eastAsia="宋体" w:cs="宋体"/>
          <w:bCs/>
          <w:szCs w:val="32"/>
          <w:highlight w:val="none"/>
        </w:rPr>
        <w:t>七、授予合同</w:t>
      </w:r>
      <w:r>
        <w:rPr>
          <w:highlight w:val="none"/>
        </w:rPr>
        <w:tab/>
      </w:r>
      <w:r>
        <w:rPr>
          <w:highlight w:val="none"/>
        </w:rPr>
        <w:fldChar w:fldCharType="begin"/>
      </w:r>
      <w:r>
        <w:rPr>
          <w:highlight w:val="none"/>
        </w:rPr>
        <w:instrText xml:space="preserve"> PAGEREF _Toc17817 \h </w:instrText>
      </w:r>
      <w:r>
        <w:rPr>
          <w:highlight w:val="none"/>
        </w:rPr>
        <w:fldChar w:fldCharType="separate"/>
      </w:r>
      <w:r>
        <w:rPr>
          <w:highlight w:val="none"/>
        </w:rPr>
        <w:t>12</w:t>
      </w:r>
      <w:r>
        <w:rPr>
          <w:highlight w:val="none"/>
        </w:rPr>
        <w:fldChar w:fldCharType="end"/>
      </w:r>
      <w:r>
        <w:rPr>
          <w:rFonts w:hint="eastAsia" w:ascii="宋体" w:hAnsi="宋体" w:eastAsia="宋体" w:cs="宋体"/>
          <w:color w:val="auto"/>
          <w:szCs w:val="36"/>
          <w:highlight w:val="none"/>
        </w:rPr>
        <w:fldChar w:fldCharType="end"/>
      </w:r>
    </w:p>
    <w:p w14:paraId="665A72D6">
      <w:pPr>
        <w:pStyle w:val="37"/>
        <w:tabs>
          <w:tab w:val="right" w:leader="dot" w:pos="9660"/>
          <w:tab w:val="clear" w:pos="9450"/>
        </w:tabs>
        <w:rPr>
          <w:highlight w:val="none"/>
        </w:rPr>
      </w:pPr>
      <w:r>
        <w:rPr>
          <w:rFonts w:hint="eastAsia" w:ascii="宋体" w:hAnsi="宋体" w:eastAsia="宋体" w:cs="宋体"/>
          <w:color w:val="auto"/>
          <w:szCs w:val="36"/>
          <w:highlight w:val="none"/>
        </w:rPr>
        <w:fldChar w:fldCharType="begin"/>
      </w:r>
      <w:r>
        <w:rPr>
          <w:rFonts w:hint="eastAsia" w:ascii="宋体" w:hAnsi="宋体" w:eastAsia="宋体" w:cs="宋体"/>
          <w:szCs w:val="36"/>
          <w:highlight w:val="none"/>
        </w:rPr>
        <w:instrText xml:space="preserve"> HYPERLINK \l _Toc30934 </w:instrText>
      </w:r>
      <w:r>
        <w:rPr>
          <w:rFonts w:hint="eastAsia" w:ascii="宋体" w:hAnsi="宋体" w:eastAsia="宋体" w:cs="宋体"/>
          <w:szCs w:val="36"/>
          <w:highlight w:val="none"/>
        </w:rPr>
        <w:fldChar w:fldCharType="separate"/>
      </w:r>
      <w:r>
        <w:rPr>
          <w:rFonts w:hint="eastAsia" w:ascii="宋体" w:hAnsi="宋体" w:eastAsia="宋体" w:cs="宋体"/>
          <w:highlight w:val="none"/>
        </w:rPr>
        <w:t>第三章 合同文本</w:t>
      </w:r>
      <w:r>
        <w:rPr>
          <w:highlight w:val="none"/>
        </w:rPr>
        <w:tab/>
      </w:r>
      <w:r>
        <w:rPr>
          <w:highlight w:val="none"/>
        </w:rPr>
        <w:fldChar w:fldCharType="begin"/>
      </w:r>
      <w:r>
        <w:rPr>
          <w:highlight w:val="none"/>
        </w:rPr>
        <w:instrText xml:space="preserve"> PAGEREF _Toc30934 \h </w:instrText>
      </w:r>
      <w:r>
        <w:rPr>
          <w:highlight w:val="none"/>
        </w:rPr>
        <w:fldChar w:fldCharType="separate"/>
      </w:r>
      <w:r>
        <w:rPr>
          <w:highlight w:val="none"/>
        </w:rPr>
        <w:t>14</w:t>
      </w:r>
      <w:r>
        <w:rPr>
          <w:highlight w:val="none"/>
        </w:rPr>
        <w:fldChar w:fldCharType="end"/>
      </w:r>
      <w:r>
        <w:rPr>
          <w:rFonts w:hint="eastAsia" w:ascii="宋体" w:hAnsi="宋体" w:eastAsia="宋体" w:cs="宋体"/>
          <w:color w:val="auto"/>
          <w:szCs w:val="36"/>
          <w:highlight w:val="none"/>
        </w:rPr>
        <w:fldChar w:fldCharType="end"/>
      </w:r>
    </w:p>
    <w:p w14:paraId="6429D4E5">
      <w:pPr>
        <w:pStyle w:val="37"/>
        <w:tabs>
          <w:tab w:val="right" w:leader="dot" w:pos="9660"/>
          <w:tab w:val="clear" w:pos="9450"/>
        </w:tabs>
        <w:rPr>
          <w:highlight w:val="none"/>
        </w:rPr>
      </w:pPr>
      <w:r>
        <w:rPr>
          <w:rFonts w:hint="eastAsia" w:ascii="宋体" w:hAnsi="宋体" w:eastAsia="宋体" w:cs="宋体"/>
          <w:color w:val="auto"/>
          <w:szCs w:val="36"/>
          <w:highlight w:val="none"/>
        </w:rPr>
        <w:fldChar w:fldCharType="begin"/>
      </w:r>
      <w:r>
        <w:rPr>
          <w:rFonts w:hint="eastAsia" w:ascii="宋体" w:hAnsi="宋体" w:eastAsia="宋体" w:cs="宋体"/>
          <w:szCs w:val="36"/>
          <w:highlight w:val="none"/>
        </w:rPr>
        <w:instrText xml:space="preserve"> HYPERLINK \l _Toc11007 </w:instrText>
      </w:r>
      <w:r>
        <w:rPr>
          <w:rFonts w:hint="eastAsia" w:ascii="宋体" w:hAnsi="宋体" w:eastAsia="宋体" w:cs="宋体"/>
          <w:szCs w:val="36"/>
          <w:highlight w:val="none"/>
        </w:rPr>
        <w:fldChar w:fldCharType="separate"/>
      </w:r>
      <w:r>
        <w:rPr>
          <w:rFonts w:hint="eastAsia" w:ascii="宋体" w:hAnsi="宋体" w:eastAsia="宋体" w:cs="宋体"/>
          <w:highlight w:val="none"/>
        </w:rPr>
        <w:t>第四章 采购需求</w:t>
      </w:r>
      <w:r>
        <w:rPr>
          <w:highlight w:val="none"/>
        </w:rPr>
        <w:tab/>
      </w:r>
      <w:r>
        <w:rPr>
          <w:highlight w:val="none"/>
        </w:rPr>
        <w:fldChar w:fldCharType="begin"/>
      </w:r>
      <w:r>
        <w:rPr>
          <w:highlight w:val="none"/>
        </w:rPr>
        <w:instrText xml:space="preserve"> PAGEREF _Toc11007 \h </w:instrText>
      </w:r>
      <w:r>
        <w:rPr>
          <w:highlight w:val="none"/>
        </w:rPr>
        <w:fldChar w:fldCharType="separate"/>
      </w:r>
      <w:r>
        <w:rPr>
          <w:highlight w:val="none"/>
        </w:rPr>
        <w:t>22</w:t>
      </w:r>
      <w:r>
        <w:rPr>
          <w:highlight w:val="none"/>
        </w:rPr>
        <w:fldChar w:fldCharType="end"/>
      </w:r>
      <w:r>
        <w:rPr>
          <w:rFonts w:hint="eastAsia" w:ascii="宋体" w:hAnsi="宋体" w:eastAsia="宋体" w:cs="宋体"/>
          <w:color w:val="auto"/>
          <w:szCs w:val="36"/>
          <w:highlight w:val="none"/>
        </w:rPr>
        <w:fldChar w:fldCharType="end"/>
      </w:r>
    </w:p>
    <w:p w14:paraId="58B42A3D">
      <w:pPr>
        <w:pStyle w:val="37"/>
        <w:tabs>
          <w:tab w:val="right" w:leader="dot" w:pos="9660"/>
          <w:tab w:val="clear" w:pos="9450"/>
        </w:tabs>
        <w:rPr>
          <w:highlight w:val="none"/>
        </w:rPr>
      </w:pPr>
      <w:r>
        <w:rPr>
          <w:rFonts w:hint="eastAsia" w:ascii="宋体" w:hAnsi="宋体" w:eastAsia="宋体" w:cs="宋体"/>
          <w:color w:val="auto"/>
          <w:szCs w:val="36"/>
          <w:highlight w:val="none"/>
        </w:rPr>
        <w:fldChar w:fldCharType="begin"/>
      </w:r>
      <w:r>
        <w:rPr>
          <w:rFonts w:hint="eastAsia" w:ascii="宋体" w:hAnsi="宋体" w:eastAsia="宋体" w:cs="宋体"/>
          <w:szCs w:val="36"/>
          <w:highlight w:val="none"/>
        </w:rPr>
        <w:instrText xml:space="preserve"> HYPERLINK \l _Toc19861 </w:instrText>
      </w:r>
      <w:r>
        <w:rPr>
          <w:rFonts w:hint="eastAsia" w:ascii="宋体" w:hAnsi="宋体" w:eastAsia="宋体" w:cs="宋体"/>
          <w:szCs w:val="36"/>
          <w:highlight w:val="none"/>
        </w:rPr>
        <w:fldChar w:fldCharType="separate"/>
      </w:r>
      <w:r>
        <w:rPr>
          <w:rFonts w:hint="eastAsia" w:ascii="宋体" w:hAnsi="宋体" w:eastAsia="宋体" w:cs="宋体"/>
          <w:highlight w:val="none"/>
        </w:rPr>
        <w:t>第五章 评审方法与评审标准</w:t>
      </w:r>
      <w:r>
        <w:rPr>
          <w:highlight w:val="none"/>
        </w:rPr>
        <w:tab/>
      </w:r>
      <w:r>
        <w:rPr>
          <w:highlight w:val="none"/>
        </w:rPr>
        <w:fldChar w:fldCharType="begin"/>
      </w:r>
      <w:r>
        <w:rPr>
          <w:highlight w:val="none"/>
        </w:rPr>
        <w:instrText xml:space="preserve"> PAGEREF _Toc19861 \h </w:instrText>
      </w:r>
      <w:r>
        <w:rPr>
          <w:highlight w:val="none"/>
        </w:rPr>
        <w:fldChar w:fldCharType="separate"/>
      </w:r>
      <w:r>
        <w:rPr>
          <w:highlight w:val="none"/>
        </w:rPr>
        <w:t>31</w:t>
      </w:r>
      <w:r>
        <w:rPr>
          <w:highlight w:val="none"/>
        </w:rPr>
        <w:fldChar w:fldCharType="end"/>
      </w:r>
      <w:r>
        <w:rPr>
          <w:rFonts w:hint="eastAsia" w:ascii="宋体" w:hAnsi="宋体" w:eastAsia="宋体" w:cs="宋体"/>
          <w:color w:val="auto"/>
          <w:szCs w:val="36"/>
          <w:highlight w:val="none"/>
        </w:rPr>
        <w:fldChar w:fldCharType="end"/>
      </w:r>
    </w:p>
    <w:p w14:paraId="6C796F56">
      <w:pPr>
        <w:pStyle w:val="37"/>
        <w:tabs>
          <w:tab w:val="right" w:leader="dot" w:pos="9660"/>
          <w:tab w:val="clear" w:pos="9450"/>
        </w:tabs>
        <w:rPr>
          <w:highlight w:val="none"/>
        </w:rPr>
      </w:pPr>
      <w:r>
        <w:rPr>
          <w:rFonts w:hint="eastAsia" w:ascii="宋体" w:hAnsi="宋体" w:eastAsia="宋体" w:cs="宋体"/>
          <w:color w:val="auto"/>
          <w:szCs w:val="36"/>
          <w:highlight w:val="none"/>
        </w:rPr>
        <w:fldChar w:fldCharType="begin"/>
      </w:r>
      <w:r>
        <w:rPr>
          <w:rFonts w:hint="eastAsia" w:ascii="宋体" w:hAnsi="宋体" w:eastAsia="宋体" w:cs="宋体"/>
          <w:szCs w:val="36"/>
          <w:highlight w:val="none"/>
        </w:rPr>
        <w:instrText xml:space="preserve"> HYPERLINK \l _Toc9358 </w:instrText>
      </w:r>
      <w:r>
        <w:rPr>
          <w:rFonts w:hint="eastAsia" w:ascii="宋体" w:hAnsi="宋体" w:eastAsia="宋体" w:cs="宋体"/>
          <w:szCs w:val="36"/>
          <w:highlight w:val="none"/>
        </w:rPr>
        <w:fldChar w:fldCharType="separate"/>
      </w:r>
      <w:r>
        <w:rPr>
          <w:rFonts w:hint="eastAsia" w:ascii="宋体" w:hAnsi="宋体" w:eastAsia="宋体" w:cs="宋体"/>
          <w:highlight w:val="none"/>
        </w:rPr>
        <w:t>第六章 投标文件格式</w:t>
      </w:r>
      <w:r>
        <w:rPr>
          <w:highlight w:val="none"/>
        </w:rPr>
        <w:tab/>
      </w:r>
      <w:r>
        <w:rPr>
          <w:highlight w:val="none"/>
        </w:rPr>
        <w:fldChar w:fldCharType="begin"/>
      </w:r>
      <w:r>
        <w:rPr>
          <w:highlight w:val="none"/>
        </w:rPr>
        <w:instrText xml:space="preserve"> PAGEREF _Toc9358 \h </w:instrText>
      </w:r>
      <w:r>
        <w:rPr>
          <w:highlight w:val="none"/>
        </w:rPr>
        <w:fldChar w:fldCharType="separate"/>
      </w:r>
      <w:r>
        <w:rPr>
          <w:highlight w:val="none"/>
        </w:rPr>
        <w:t>35</w:t>
      </w:r>
      <w:r>
        <w:rPr>
          <w:highlight w:val="none"/>
        </w:rPr>
        <w:fldChar w:fldCharType="end"/>
      </w:r>
      <w:r>
        <w:rPr>
          <w:rFonts w:hint="eastAsia" w:ascii="宋体" w:hAnsi="宋体" w:eastAsia="宋体" w:cs="宋体"/>
          <w:color w:val="auto"/>
          <w:szCs w:val="36"/>
          <w:highlight w:val="none"/>
        </w:rPr>
        <w:fldChar w:fldCharType="end"/>
      </w:r>
    </w:p>
    <w:p w14:paraId="26DC4DAF">
      <w:pPr>
        <w:pStyle w:val="47"/>
        <w:tabs>
          <w:tab w:val="right" w:leader="dot" w:pos="9660"/>
          <w:tab w:val="clear" w:pos="9450"/>
        </w:tabs>
        <w:rPr>
          <w:highlight w:val="none"/>
        </w:rPr>
      </w:pPr>
      <w:r>
        <w:rPr>
          <w:rFonts w:hint="eastAsia" w:ascii="宋体" w:hAnsi="宋体" w:eastAsia="宋体" w:cs="宋体"/>
          <w:color w:val="auto"/>
          <w:szCs w:val="36"/>
          <w:highlight w:val="none"/>
        </w:rPr>
        <w:fldChar w:fldCharType="begin"/>
      </w:r>
      <w:r>
        <w:rPr>
          <w:rFonts w:hint="eastAsia" w:ascii="宋体" w:hAnsi="宋体" w:eastAsia="宋体" w:cs="宋体"/>
          <w:szCs w:val="36"/>
          <w:highlight w:val="none"/>
        </w:rPr>
        <w:instrText xml:space="preserve"> HYPERLINK \l _Toc26019 </w:instrText>
      </w:r>
      <w:r>
        <w:rPr>
          <w:rFonts w:hint="eastAsia" w:ascii="宋体" w:hAnsi="宋体" w:eastAsia="宋体" w:cs="宋体"/>
          <w:szCs w:val="36"/>
          <w:highlight w:val="none"/>
        </w:rPr>
        <w:fldChar w:fldCharType="separate"/>
      </w:r>
      <w:r>
        <w:rPr>
          <w:rFonts w:hint="eastAsia" w:ascii="宋体" w:hAnsi="宋体" w:eastAsia="宋体" w:cs="宋体"/>
          <w:highlight w:val="none"/>
        </w:rPr>
        <w:t>附件1 开标一览表</w:t>
      </w:r>
      <w:r>
        <w:rPr>
          <w:highlight w:val="none"/>
        </w:rPr>
        <w:tab/>
      </w:r>
      <w:r>
        <w:rPr>
          <w:highlight w:val="none"/>
        </w:rPr>
        <w:fldChar w:fldCharType="begin"/>
      </w:r>
      <w:r>
        <w:rPr>
          <w:highlight w:val="none"/>
        </w:rPr>
        <w:instrText xml:space="preserve"> PAGEREF _Toc26019 \h </w:instrText>
      </w:r>
      <w:r>
        <w:rPr>
          <w:highlight w:val="none"/>
        </w:rPr>
        <w:fldChar w:fldCharType="separate"/>
      </w:r>
      <w:r>
        <w:rPr>
          <w:highlight w:val="none"/>
        </w:rPr>
        <w:t>37</w:t>
      </w:r>
      <w:r>
        <w:rPr>
          <w:highlight w:val="none"/>
        </w:rPr>
        <w:fldChar w:fldCharType="end"/>
      </w:r>
      <w:r>
        <w:rPr>
          <w:rFonts w:hint="eastAsia" w:ascii="宋体" w:hAnsi="宋体" w:eastAsia="宋体" w:cs="宋体"/>
          <w:color w:val="auto"/>
          <w:szCs w:val="36"/>
          <w:highlight w:val="none"/>
        </w:rPr>
        <w:fldChar w:fldCharType="end"/>
      </w:r>
    </w:p>
    <w:p w14:paraId="1B41BFC1">
      <w:pPr>
        <w:pStyle w:val="47"/>
        <w:tabs>
          <w:tab w:val="right" w:leader="dot" w:pos="9660"/>
          <w:tab w:val="clear" w:pos="9450"/>
        </w:tabs>
        <w:rPr>
          <w:highlight w:val="none"/>
        </w:rPr>
      </w:pPr>
      <w:r>
        <w:rPr>
          <w:rFonts w:hint="eastAsia" w:ascii="宋体" w:hAnsi="宋体" w:eastAsia="宋体" w:cs="宋体"/>
          <w:color w:val="auto"/>
          <w:szCs w:val="36"/>
          <w:highlight w:val="none"/>
        </w:rPr>
        <w:fldChar w:fldCharType="begin"/>
      </w:r>
      <w:r>
        <w:rPr>
          <w:rFonts w:hint="eastAsia" w:ascii="宋体" w:hAnsi="宋体" w:eastAsia="宋体" w:cs="宋体"/>
          <w:szCs w:val="36"/>
          <w:highlight w:val="none"/>
        </w:rPr>
        <w:instrText xml:space="preserve"> HYPERLINK \l _Toc2517 </w:instrText>
      </w:r>
      <w:r>
        <w:rPr>
          <w:rFonts w:hint="eastAsia" w:ascii="宋体" w:hAnsi="宋体" w:eastAsia="宋体" w:cs="宋体"/>
          <w:szCs w:val="36"/>
          <w:highlight w:val="none"/>
        </w:rPr>
        <w:fldChar w:fldCharType="separate"/>
      </w:r>
      <w:r>
        <w:rPr>
          <w:rFonts w:hint="eastAsia" w:ascii="宋体" w:hAnsi="宋体" w:eastAsia="宋体" w:cs="宋体"/>
          <w:highlight w:val="none"/>
        </w:rPr>
        <w:t>附件</w:t>
      </w:r>
      <w:r>
        <w:rPr>
          <w:rFonts w:hint="eastAsia" w:ascii="宋体" w:hAnsi="宋体" w:eastAsia="宋体" w:cs="宋体"/>
          <w:highlight w:val="none"/>
          <w:lang w:val="en-US" w:eastAsia="zh-CN"/>
        </w:rPr>
        <w:t>2</w:t>
      </w:r>
      <w:r>
        <w:rPr>
          <w:rFonts w:hint="eastAsia" w:ascii="宋体" w:hAnsi="宋体" w:eastAsia="宋体" w:cs="宋体"/>
          <w:highlight w:val="none"/>
        </w:rPr>
        <w:t xml:space="preserve"> 具备履行合同所必需的设备和专业技术能力的书面声明</w:t>
      </w:r>
      <w:r>
        <w:rPr>
          <w:highlight w:val="none"/>
        </w:rPr>
        <w:tab/>
      </w:r>
      <w:r>
        <w:rPr>
          <w:highlight w:val="none"/>
        </w:rPr>
        <w:fldChar w:fldCharType="begin"/>
      </w:r>
      <w:r>
        <w:rPr>
          <w:highlight w:val="none"/>
        </w:rPr>
        <w:instrText xml:space="preserve"> PAGEREF _Toc2517 \h </w:instrText>
      </w:r>
      <w:r>
        <w:rPr>
          <w:highlight w:val="none"/>
        </w:rPr>
        <w:fldChar w:fldCharType="separate"/>
      </w:r>
      <w:r>
        <w:rPr>
          <w:highlight w:val="none"/>
        </w:rPr>
        <w:t>38</w:t>
      </w:r>
      <w:r>
        <w:rPr>
          <w:highlight w:val="none"/>
        </w:rPr>
        <w:fldChar w:fldCharType="end"/>
      </w:r>
      <w:r>
        <w:rPr>
          <w:rFonts w:hint="eastAsia" w:ascii="宋体" w:hAnsi="宋体" w:eastAsia="宋体" w:cs="宋体"/>
          <w:color w:val="auto"/>
          <w:szCs w:val="36"/>
          <w:highlight w:val="none"/>
        </w:rPr>
        <w:fldChar w:fldCharType="end"/>
      </w:r>
    </w:p>
    <w:p w14:paraId="7CE9352A">
      <w:pPr>
        <w:pStyle w:val="47"/>
        <w:tabs>
          <w:tab w:val="right" w:leader="dot" w:pos="9660"/>
          <w:tab w:val="clear" w:pos="9450"/>
        </w:tabs>
        <w:rPr>
          <w:highlight w:val="none"/>
        </w:rPr>
      </w:pPr>
      <w:r>
        <w:rPr>
          <w:rFonts w:hint="eastAsia" w:ascii="宋体" w:hAnsi="宋体" w:eastAsia="宋体" w:cs="宋体"/>
          <w:color w:val="auto"/>
          <w:szCs w:val="36"/>
          <w:highlight w:val="none"/>
        </w:rPr>
        <w:fldChar w:fldCharType="begin"/>
      </w:r>
      <w:r>
        <w:rPr>
          <w:rFonts w:hint="eastAsia" w:ascii="宋体" w:hAnsi="宋体" w:eastAsia="宋体" w:cs="宋体"/>
          <w:szCs w:val="36"/>
          <w:highlight w:val="none"/>
        </w:rPr>
        <w:instrText xml:space="preserve"> HYPERLINK \l _Toc31387 </w:instrText>
      </w:r>
      <w:r>
        <w:rPr>
          <w:rFonts w:hint="eastAsia" w:ascii="宋体" w:hAnsi="宋体" w:eastAsia="宋体" w:cs="宋体"/>
          <w:szCs w:val="36"/>
          <w:highlight w:val="none"/>
        </w:rPr>
        <w:fldChar w:fldCharType="separate"/>
      </w:r>
      <w:r>
        <w:rPr>
          <w:rFonts w:hint="eastAsia" w:ascii="宋体" w:hAnsi="宋体" w:eastAsia="宋体" w:cs="宋体"/>
          <w:highlight w:val="none"/>
        </w:rPr>
        <w:t>附件</w:t>
      </w:r>
      <w:r>
        <w:rPr>
          <w:rFonts w:hint="eastAsia" w:ascii="宋体" w:hAnsi="宋体" w:eastAsia="宋体" w:cs="宋体"/>
          <w:highlight w:val="none"/>
          <w:lang w:val="en-US" w:eastAsia="zh-CN"/>
        </w:rPr>
        <w:t>3</w:t>
      </w:r>
      <w:r>
        <w:rPr>
          <w:rFonts w:hint="eastAsia" w:ascii="宋体" w:hAnsi="宋体" w:eastAsia="宋体" w:cs="宋体"/>
          <w:highlight w:val="none"/>
        </w:rPr>
        <w:t xml:space="preserve"> 参加政府采购活动前3年内在经营活动中没有重大违法记录的书面声明</w:t>
      </w:r>
      <w:r>
        <w:rPr>
          <w:highlight w:val="none"/>
        </w:rPr>
        <w:tab/>
      </w:r>
      <w:r>
        <w:rPr>
          <w:highlight w:val="none"/>
        </w:rPr>
        <w:fldChar w:fldCharType="begin"/>
      </w:r>
      <w:r>
        <w:rPr>
          <w:highlight w:val="none"/>
        </w:rPr>
        <w:instrText xml:space="preserve"> PAGEREF _Toc31387 \h </w:instrText>
      </w:r>
      <w:r>
        <w:rPr>
          <w:highlight w:val="none"/>
        </w:rPr>
        <w:fldChar w:fldCharType="separate"/>
      </w:r>
      <w:r>
        <w:rPr>
          <w:highlight w:val="none"/>
        </w:rPr>
        <w:t>39</w:t>
      </w:r>
      <w:r>
        <w:rPr>
          <w:highlight w:val="none"/>
        </w:rPr>
        <w:fldChar w:fldCharType="end"/>
      </w:r>
      <w:r>
        <w:rPr>
          <w:rFonts w:hint="eastAsia" w:ascii="宋体" w:hAnsi="宋体" w:eastAsia="宋体" w:cs="宋体"/>
          <w:color w:val="auto"/>
          <w:szCs w:val="36"/>
          <w:highlight w:val="none"/>
        </w:rPr>
        <w:fldChar w:fldCharType="end"/>
      </w:r>
    </w:p>
    <w:p w14:paraId="37AFA399">
      <w:pPr>
        <w:pStyle w:val="47"/>
        <w:tabs>
          <w:tab w:val="right" w:leader="dot" w:pos="9660"/>
          <w:tab w:val="clear" w:pos="9450"/>
        </w:tabs>
        <w:rPr>
          <w:highlight w:val="none"/>
        </w:rPr>
      </w:pPr>
      <w:r>
        <w:rPr>
          <w:rFonts w:hint="eastAsia" w:ascii="宋体" w:hAnsi="宋体" w:eastAsia="宋体" w:cs="宋体"/>
          <w:color w:val="auto"/>
          <w:szCs w:val="36"/>
          <w:highlight w:val="none"/>
        </w:rPr>
        <w:fldChar w:fldCharType="begin"/>
      </w:r>
      <w:r>
        <w:rPr>
          <w:rFonts w:hint="eastAsia" w:ascii="宋体" w:hAnsi="宋体" w:eastAsia="宋体" w:cs="宋体"/>
          <w:szCs w:val="36"/>
          <w:highlight w:val="none"/>
        </w:rPr>
        <w:instrText xml:space="preserve"> HYPERLINK \l _Toc5413 </w:instrText>
      </w:r>
      <w:r>
        <w:rPr>
          <w:rFonts w:hint="eastAsia" w:ascii="宋体" w:hAnsi="宋体" w:eastAsia="宋体" w:cs="宋体"/>
          <w:szCs w:val="36"/>
          <w:highlight w:val="none"/>
        </w:rPr>
        <w:fldChar w:fldCharType="separate"/>
      </w:r>
      <w:r>
        <w:rPr>
          <w:rFonts w:hint="eastAsia" w:ascii="宋体" w:hAnsi="宋体" w:eastAsia="宋体" w:cs="宋体"/>
          <w:highlight w:val="none"/>
        </w:rPr>
        <w:t>附件</w:t>
      </w:r>
      <w:r>
        <w:rPr>
          <w:rFonts w:hint="eastAsia" w:ascii="宋体" w:hAnsi="宋体" w:eastAsia="宋体" w:cs="宋体"/>
          <w:highlight w:val="none"/>
          <w:lang w:val="en-US" w:eastAsia="zh-CN"/>
        </w:rPr>
        <w:t>4</w:t>
      </w:r>
      <w:r>
        <w:rPr>
          <w:rFonts w:hint="eastAsia" w:ascii="宋体" w:hAnsi="宋体" w:eastAsia="宋体" w:cs="宋体"/>
          <w:highlight w:val="none"/>
        </w:rPr>
        <w:t xml:space="preserve"> 法人授权书</w:t>
      </w:r>
      <w:r>
        <w:rPr>
          <w:highlight w:val="none"/>
        </w:rPr>
        <w:tab/>
      </w:r>
      <w:r>
        <w:rPr>
          <w:highlight w:val="none"/>
        </w:rPr>
        <w:fldChar w:fldCharType="begin"/>
      </w:r>
      <w:r>
        <w:rPr>
          <w:highlight w:val="none"/>
        </w:rPr>
        <w:instrText xml:space="preserve"> PAGEREF _Toc5413 \h </w:instrText>
      </w:r>
      <w:r>
        <w:rPr>
          <w:highlight w:val="none"/>
        </w:rPr>
        <w:fldChar w:fldCharType="separate"/>
      </w:r>
      <w:r>
        <w:rPr>
          <w:highlight w:val="none"/>
        </w:rPr>
        <w:t>40</w:t>
      </w:r>
      <w:r>
        <w:rPr>
          <w:highlight w:val="none"/>
        </w:rPr>
        <w:fldChar w:fldCharType="end"/>
      </w:r>
      <w:r>
        <w:rPr>
          <w:rFonts w:hint="eastAsia" w:ascii="宋体" w:hAnsi="宋体" w:eastAsia="宋体" w:cs="宋体"/>
          <w:color w:val="auto"/>
          <w:szCs w:val="36"/>
          <w:highlight w:val="none"/>
        </w:rPr>
        <w:fldChar w:fldCharType="end"/>
      </w:r>
    </w:p>
    <w:p w14:paraId="7A934551">
      <w:pPr>
        <w:pStyle w:val="47"/>
        <w:tabs>
          <w:tab w:val="right" w:leader="dot" w:pos="9660"/>
          <w:tab w:val="clear" w:pos="9450"/>
        </w:tabs>
        <w:rPr>
          <w:highlight w:val="none"/>
        </w:rPr>
      </w:pPr>
      <w:r>
        <w:rPr>
          <w:rFonts w:hint="eastAsia" w:ascii="宋体" w:hAnsi="宋体" w:eastAsia="宋体" w:cs="宋体"/>
          <w:color w:val="auto"/>
          <w:szCs w:val="36"/>
          <w:highlight w:val="none"/>
        </w:rPr>
        <w:fldChar w:fldCharType="begin"/>
      </w:r>
      <w:r>
        <w:rPr>
          <w:rFonts w:hint="eastAsia" w:ascii="宋体" w:hAnsi="宋体" w:eastAsia="宋体" w:cs="宋体"/>
          <w:szCs w:val="36"/>
          <w:highlight w:val="none"/>
        </w:rPr>
        <w:instrText xml:space="preserve"> HYPERLINK \l _Toc12327 </w:instrText>
      </w:r>
      <w:r>
        <w:rPr>
          <w:rFonts w:hint="eastAsia" w:ascii="宋体" w:hAnsi="宋体" w:eastAsia="宋体" w:cs="宋体"/>
          <w:szCs w:val="36"/>
          <w:highlight w:val="none"/>
        </w:rPr>
        <w:fldChar w:fldCharType="separate"/>
      </w:r>
      <w:r>
        <w:rPr>
          <w:rFonts w:hint="eastAsia" w:ascii="宋体" w:hAnsi="宋体" w:eastAsia="宋体" w:cs="宋体"/>
          <w:highlight w:val="none"/>
        </w:rPr>
        <w:t>附件</w:t>
      </w:r>
      <w:r>
        <w:rPr>
          <w:rFonts w:hint="eastAsia" w:ascii="宋体" w:hAnsi="宋体" w:eastAsia="宋体" w:cs="宋体"/>
          <w:highlight w:val="none"/>
          <w:lang w:val="en-US" w:eastAsia="zh-CN"/>
        </w:rPr>
        <w:t>5</w:t>
      </w:r>
      <w:r>
        <w:rPr>
          <w:rFonts w:hint="eastAsia" w:ascii="宋体" w:hAnsi="宋体" w:eastAsia="宋体" w:cs="宋体"/>
          <w:highlight w:val="none"/>
        </w:rPr>
        <w:t xml:space="preserve"> 投标函</w:t>
      </w:r>
      <w:r>
        <w:rPr>
          <w:highlight w:val="none"/>
        </w:rPr>
        <w:tab/>
      </w:r>
      <w:r>
        <w:rPr>
          <w:highlight w:val="none"/>
        </w:rPr>
        <w:fldChar w:fldCharType="begin"/>
      </w:r>
      <w:r>
        <w:rPr>
          <w:highlight w:val="none"/>
        </w:rPr>
        <w:instrText xml:space="preserve"> PAGEREF _Toc12327 \h </w:instrText>
      </w:r>
      <w:r>
        <w:rPr>
          <w:highlight w:val="none"/>
        </w:rPr>
        <w:fldChar w:fldCharType="separate"/>
      </w:r>
      <w:r>
        <w:rPr>
          <w:highlight w:val="none"/>
        </w:rPr>
        <w:t>41</w:t>
      </w:r>
      <w:r>
        <w:rPr>
          <w:highlight w:val="none"/>
        </w:rPr>
        <w:fldChar w:fldCharType="end"/>
      </w:r>
      <w:r>
        <w:rPr>
          <w:rFonts w:hint="eastAsia" w:ascii="宋体" w:hAnsi="宋体" w:eastAsia="宋体" w:cs="宋体"/>
          <w:color w:val="auto"/>
          <w:szCs w:val="36"/>
          <w:highlight w:val="none"/>
        </w:rPr>
        <w:fldChar w:fldCharType="end"/>
      </w:r>
    </w:p>
    <w:p w14:paraId="67B315D5">
      <w:pPr>
        <w:pStyle w:val="47"/>
        <w:tabs>
          <w:tab w:val="right" w:leader="dot" w:pos="9660"/>
          <w:tab w:val="clear" w:pos="9450"/>
        </w:tabs>
        <w:rPr>
          <w:highlight w:val="none"/>
        </w:rPr>
      </w:pPr>
      <w:r>
        <w:rPr>
          <w:rFonts w:hint="eastAsia" w:ascii="宋体" w:hAnsi="宋体" w:eastAsia="宋体" w:cs="宋体"/>
          <w:color w:val="auto"/>
          <w:szCs w:val="36"/>
          <w:highlight w:val="none"/>
        </w:rPr>
        <w:fldChar w:fldCharType="begin"/>
      </w:r>
      <w:r>
        <w:rPr>
          <w:rFonts w:hint="eastAsia" w:ascii="宋体" w:hAnsi="宋体" w:eastAsia="宋体" w:cs="宋体"/>
          <w:szCs w:val="36"/>
          <w:highlight w:val="none"/>
        </w:rPr>
        <w:instrText xml:space="preserve"> HYPERLINK \l _Toc19376 </w:instrText>
      </w:r>
      <w:r>
        <w:rPr>
          <w:rFonts w:hint="eastAsia" w:ascii="宋体" w:hAnsi="宋体" w:eastAsia="宋体" w:cs="宋体"/>
          <w:szCs w:val="36"/>
          <w:highlight w:val="none"/>
        </w:rPr>
        <w:fldChar w:fldCharType="separate"/>
      </w:r>
      <w:r>
        <w:rPr>
          <w:rFonts w:hint="eastAsia" w:ascii="宋体" w:hAnsi="宋体" w:eastAsia="宋体" w:cs="宋体"/>
          <w:bCs/>
          <w:szCs w:val="28"/>
          <w:highlight w:val="none"/>
        </w:rPr>
        <w:t>附件</w:t>
      </w:r>
      <w:r>
        <w:rPr>
          <w:rFonts w:hint="eastAsia" w:ascii="宋体" w:hAnsi="宋体" w:eastAsia="宋体" w:cs="宋体"/>
          <w:bCs/>
          <w:szCs w:val="28"/>
          <w:highlight w:val="none"/>
          <w:lang w:val="en-US" w:eastAsia="zh-CN"/>
        </w:rPr>
        <w:t>6</w:t>
      </w:r>
      <w:r>
        <w:rPr>
          <w:rFonts w:hint="eastAsia" w:ascii="宋体" w:hAnsi="宋体" w:eastAsia="宋体" w:cs="宋体"/>
          <w:bCs/>
          <w:szCs w:val="28"/>
          <w:highlight w:val="none"/>
        </w:rPr>
        <w:t xml:space="preserve"> 中小企业声明函</w:t>
      </w:r>
      <w:r>
        <w:rPr>
          <w:highlight w:val="none"/>
        </w:rPr>
        <w:tab/>
      </w:r>
      <w:r>
        <w:rPr>
          <w:highlight w:val="none"/>
        </w:rPr>
        <w:fldChar w:fldCharType="begin"/>
      </w:r>
      <w:r>
        <w:rPr>
          <w:highlight w:val="none"/>
        </w:rPr>
        <w:instrText xml:space="preserve"> PAGEREF _Toc19376 \h </w:instrText>
      </w:r>
      <w:r>
        <w:rPr>
          <w:highlight w:val="none"/>
        </w:rPr>
        <w:fldChar w:fldCharType="separate"/>
      </w:r>
      <w:r>
        <w:rPr>
          <w:highlight w:val="none"/>
        </w:rPr>
        <w:t>42</w:t>
      </w:r>
      <w:r>
        <w:rPr>
          <w:highlight w:val="none"/>
        </w:rPr>
        <w:fldChar w:fldCharType="end"/>
      </w:r>
      <w:r>
        <w:rPr>
          <w:rFonts w:hint="eastAsia" w:ascii="宋体" w:hAnsi="宋体" w:eastAsia="宋体" w:cs="宋体"/>
          <w:color w:val="auto"/>
          <w:szCs w:val="36"/>
          <w:highlight w:val="none"/>
        </w:rPr>
        <w:fldChar w:fldCharType="end"/>
      </w:r>
    </w:p>
    <w:p w14:paraId="09BFAE58">
      <w:pPr>
        <w:pStyle w:val="47"/>
        <w:tabs>
          <w:tab w:val="right" w:leader="dot" w:pos="9660"/>
          <w:tab w:val="clear" w:pos="9450"/>
        </w:tabs>
        <w:rPr>
          <w:highlight w:val="none"/>
        </w:rPr>
      </w:pPr>
      <w:r>
        <w:rPr>
          <w:rFonts w:hint="eastAsia" w:ascii="宋体" w:hAnsi="宋体" w:eastAsia="宋体" w:cs="宋体"/>
          <w:color w:val="auto"/>
          <w:szCs w:val="36"/>
          <w:highlight w:val="none"/>
        </w:rPr>
        <w:fldChar w:fldCharType="begin"/>
      </w:r>
      <w:r>
        <w:rPr>
          <w:rFonts w:hint="eastAsia" w:ascii="宋体" w:hAnsi="宋体" w:eastAsia="宋体" w:cs="宋体"/>
          <w:szCs w:val="36"/>
          <w:highlight w:val="none"/>
        </w:rPr>
        <w:instrText xml:space="preserve"> HYPERLINK \l _Toc28185 </w:instrText>
      </w:r>
      <w:r>
        <w:rPr>
          <w:rFonts w:hint="eastAsia" w:ascii="宋体" w:hAnsi="宋体" w:eastAsia="宋体" w:cs="宋体"/>
          <w:szCs w:val="36"/>
          <w:highlight w:val="none"/>
        </w:rPr>
        <w:fldChar w:fldCharType="separate"/>
      </w:r>
      <w:r>
        <w:rPr>
          <w:rFonts w:hint="eastAsia" w:ascii="宋体" w:hAnsi="宋体" w:eastAsia="宋体" w:cs="宋体"/>
          <w:bCs/>
          <w:szCs w:val="28"/>
          <w:highlight w:val="none"/>
        </w:rPr>
        <w:t>附件</w:t>
      </w:r>
      <w:r>
        <w:rPr>
          <w:rFonts w:hint="eastAsia" w:ascii="宋体" w:hAnsi="宋体" w:eastAsia="宋体" w:cs="宋体"/>
          <w:bCs/>
          <w:szCs w:val="28"/>
          <w:highlight w:val="none"/>
          <w:lang w:val="en-US" w:eastAsia="zh-CN"/>
        </w:rPr>
        <w:t>7</w:t>
      </w:r>
      <w:r>
        <w:rPr>
          <w:rFonts w:hint="eastAsia" w:ascii="宋体" w:hAnsi="宋体" w:eastAsia="宋体" w:cs="宋体"/>
          <w:bCs/>
          <w:szCs w:val="28"/>
          <w:highlight w:val="none"/>
        </w:rPr>
        <w:t xml:space="preserve"> 残疾人福利性单位声明函</w:t>
      </w:r>
      <w:r>
        <w:rPr>
          <w:highlight w:val="none"/>
        </w:rPr>
        <w:tab/>
      </w:r>
      <w:r>
        <w:rPr>
          <w:highlight w:val="none"/>
        </w:rPr>
        <w:fldChar w:fldCharType="begin"/>
      </w:r>
      <w:r>
        <w:rPr>
          <w:highlight w:val="none"/>
        </w:rPr>
        <w:instrText xml:space="preserve"> PAGEREF _Toc28185 \h </w:instrText>
      </w:r>
      <w:r>
        <w:rPr>
          <w:highlight w:val="none"/>
        </w:rPr>
        <w:fldChar w:fldCharType="separate"/>
      </w:r>
      <w:r>
        <w:rPr>
          <w:highlight w:val="none"/>
        </w:rPr>
        <w:t>43</w:t>
      </w:r>
      <w:r>
        <w:rPr>
          <w:highlight w:val="none"/>
        </w:rPr>
        <w:fldChar w:fldCharType="end"/>
      </w:r>
      <w:r>
        <w:rPr>
          <w:rFonts w:hint="eastAsia" w:ascii="宋体" w:hAnsi="宋体" w:eastAsia="宋体" w:cs="宋体"/>
          <w:color w:val="auto"/>
          <w:szCs w:val="36"/>
          <w:highlight w:val="none"/>
        </w:rPr>
        <w:fldChar w:fldCharType="end"/>
      </w:r>
    </w:p>
    <w:p w14:paraId="0F19B08E">
      <w:pPr>
        <w:pStyle w:val="47"/>
        <w:tabs>
          <w:tab w:val="right" w:leader="dot" w:pos="9660"/>
          <w:tab w:val="clear" w:pos="9450"/>
        </w:tabs>
        <w:rPr>
          <w:highlight w:val="none"/>
        </w:rPr>
      </w:pPr>
      <w:r>
        <w:rPr>
          <w:rFonts w:hint="eastAsia" w:ascii="宋体" w:hAnsi="宋体" w:eastAsia="宋体" w:cs="宋体"/>
          <w:color w:val="auto"/>
          <w:szCs w:val="36"/>
          <w:highlight w:val="none"/>
        </w:rPr>
        <w:fldChar w:fldCharType="begin"/>
      </w:r>
      <w:r>
        <w:rPr>
          <w:rFonts w:hint="eastAsia" w:ascii="宋体" w:hAnsi="宋体" w:eastAsia="宋体" w:cs="宋体"/>
          <w:szCs w:val="36"/>
          <w:highlight w:val="none"/>
        </w:rPr>
        <w:instrText xml:space="preserve"> HYPERLINK \l _Toc14275 </w:instrText>
      </w:r>
      <w:r>
        <w:rPr>
          <w:rFonts w:hint="eastAsia" w:ascii="宋体" w:hAnsi="宋体" w:eastAsia="宋体" w:cs="宋体"/>
          <w:szCs w:val="36"/>
          <w:highlight w:val="none"/>
        </w:rPr>
        <w:fldChar w:fldCharType="separate"/>
      </w:r>
      <w:r>
        <w:rPr>
          <w:rFonts w:hint="eastAsia" w:ascii="宋体" w:hAnsi="宋体" w:eastAsia="宋体" w:cs="宋体"/>
          <w:highlight w:val="none"/>
        </w:rPr>
        <w:t>附件</w:t>
      </w:r>
      <w:r>
        <w:rPr>
          <w:rFonts w:hint="eastAsia" w:ascii="宋体" w:hAnsi="宋体" w:eastAsia="宋体" w:cs="宋体"/>
          <w:highlight w:val="none"/>
          <w:lang w:val="en-US" w:eastAsia="zh-CN"/>
        </w:rPr>
        <w:t>8</w:t>
      </w:r>
      <w:r>
        <w:rPr>
          <w:rFonts w:hint="eastAsia" w:ascii="宋体" w:hAnsi="宋体" w:eastAsia="宋体" w:cs="宋体"/>
          <w:highlight w:val="none"/>
        </w:rPr>
        <w:t xml:space="preserve"> 实质性要求响应及偏离表</w:t>
      </w:r>
      <w:r>
        <w:rPr>
          <w:highlight w:val="none"/>
        </w:rPr>
        <w:tab/>
      </w:r>
      <w:r>
        <w:rPr>
          <w:highlight w:val="none"/>
        </w:rPr>
        <w:fldChar w:fldCharType="begin"/>
      </w:r>
      <w:r>
        <w:rPr>
          <w:highlight w:val="none"/>
        </w:rPr>
        <w:instrText xml:space="preserve"> PAGEREF _Toc14275 \h </w:instrText>
      </w:r>
      <w:r>
        <w:rPr>
          <w:highlight w:val="none"/>
        </w:rPr>
        <w:fldChar w:fldCharType="separate"/>
      </w:r>
      <w:r>
        <w:rPr>
          <w:highlight w:val="none"/>
        </w:rPr>
        <w:t>44</w:t>
      </w:r>
      <w:r>
        <w:rPr>
          <w:highlight w:val="none"/>
        </w:rPr>
        <w:fldChar w:fldCharType="end"/>
      </w:r>
      <w:r>
        <w:rPr>
          <w:rFonts w:hint="eastAsia" w:ascii="宋体" w:hAnsi="宋体" w:eastAsia="宋体" w:cs="宋体"/>
          <w:color w:val="auto"/>
          <w:szCs w:val="36"/>
          <w:highlight w:val="none"/>
        </w:rPr>
        <w:fldChar w:fldCharType="end"/>
      </w:r>
    </w:p>
    <w:p w14:paraId="78DD798D">
      <w:pPr>
        <w:pStyle w:val="47"/>
        <w:tabs>
          <w:tab w:val="right" w:leader="dot" w:pos="9660"/>
          <w:tab w:val="clear" w:pos="9450"/>
        </w:tabs>
        <w:rPr>
          <w:highlight w:val="none"/>
        </w:rPr>
      </w:pPr>
      <w:r>
        <w:rPr>
          <w:rFonts w:hint="eastAsia" w:ascii="宋体" w:hAnsi="宋体" w:eastAsia="宋体" w:cs="宋体"/>
          <w:color w:val="auto"/>
          <w:szCs w:val="36"/>
          <w:highlight w:val="none"/>
        </w:rPr>
        <w:fldChar w:fldCharType="begin"/>
      </w:r>
      <w:r>
        <w:rPr>
          <w:rFonts w:hint="eastAsia" w:ascii="宋体" w:hAnsi="宋体" w:eastAsia="宋体" w:cs="宋体"/>
          <w:szCs w:val="36"/>
          <w:highlight w:val="none"/>
        </w:rPr>
        <w:instrText xml:space="preserve"> HYPERLINK \l _Toc22595 </w:instrText>
      </w:r>
      <w:r>
        <w:rPr>
          <w:rFonts w:hint="eastAsia" w:ascii="宋体" w:hAnsi="宋体" w:eastAsia="宋体" w:cs="宋体"/>
          <w:szCs w:val="36"/>
          <w:highlight w:val="none"/>
        </w:rPr>
        <w:fldChar w:fldCharType="separate"/>
      </w:r>
      <w:r>
        <w:rPr>
          <w:rFonts w:hint="eastAsia" w:ascii="宋体" w:hAnsi="宋体" w:eastAsia="宋体" w:cs="宋体"/>
          <w:highlight w:val="none"/>
        </w:rPr>
        <w:t>附件</w:t>
      </w:r>
      <w:r>
        <w:rPr>
          <w:rFonts w:hint="eastAsia" w:ascii="宋体" w:hAnsi="宋体" w:eastAsia="宋体" w:cs="宋体"/>
          <w:highlight w:val="none"/>
          <w:lang w:val="en-US" w:eastAsia="zh-CN"/>
        </w:rPr>
        <w:t>9</w:t>
      </w:r>
      <w:r>
        <w:rPr>
          <w:rFonts w:hint="eastAsia" w:ascii="宋体" w:hAnsi="宋体" w:eastAsia="宋体" w:cs="宋体"/>
          <w:highlight w:val="none"/>
        </w:rPr>
        <w:t xml:space="preserve"> 服务要求响应及偏离表</w:t>
      </w:r>
      <w:r>
        <w:rPr>
          <w:highlight w:val="none"/>
        </w:rPr>
        <w:tab/>
      </w:r>
      <w:r>
        <w:rPr>
          <w:highlight w:val="none"/>
        </w:rPr>
        <w:fldChar w:fldCharType="begin"/>
      </w:r>
      <w:r>
        <w:rPr>
          <w:highlight w:val="none"/>
        </w:rPr>
        <w:instrText xml:space="preserve"> PAGEREF _Toc22595 \h </w:instrText>
      </w:r>
      <w:r>
        <w:rPr>
          <w:highlight w:val="none"/>
        </w:rPr>
        <w:fldChar w:fldCharType="separate"/>
      </w:r>
      <w:r>
        <w:rPr>
          <w:highlight w:val="none"/>
        </w:rPr>
        <w:t>45</w:t>
      </w:r>
      <w:r>
        <w:rPr>
          <w:highlight w:val="none"/>
        </w:rPr>
        <w:fldChar w:fldCharType="end"/>
      </w:r>
      <w:r>
        <w:rPr>
          <w:rFonts w:hint="eastAsia" w:ascii="宋体" w:hAnsi="宋体" w:eastAsia="宋体" w:cs="宋体"/>
          <w:color w:val="auto"/>
          <w:szCs w:val="36"/>
          <w:highlight w:val="none"/>
        </w:rPr>
        <w:fldChar w:fldCharType="end"/>
      </w:r>
    </w:p>
    <w:p w14:paraId="05ED92AD">
      <w:pPr>
        <w:pStyle w:val="47"/>
        <w:tabs>
          <w:tab w:val="right" w:leader="dot" w:pos="9660"/>
          <w:tab w:val="clear" w:pos="9450"/>
        </w:tabs>
        <w:rPr>
          <w:highlight w:val="none"/>
        </w:rPr>
      </w:pPr>
      <w:r>
        <w:rPr>
          <w:rFonts w:hint="eastAsia" w:ascii="宋体" w:hAnsi="宋体" w:eastAsia="宋体" w:cs="宋体"/>
          <w:color w:val="auto"/>
          <w:szCs w:val="36"/>
          <w:highlight w:val="none"/>
        </w:rPr>
        <w:fldChar w:fldCharType="begin"/>
      </w:r>
      <w:r>
        <w:rPr>
          <w:rFonts w:hint="eastAsia" w:ascii="宋体" w:hAnsi="宋体" w:eastAsia="宋体" w:cs="宋体"/>
          <w:szCs w:val="36"/>
          <w:highlight w:val="none"/>
        </w:rPr>
        <w:instrText xml:space="preserve"> HYPERLINK \l _Toc3515 </w:instrText>
      </w:r>
      <w:r>
        <w:rPr>
          <w:rFonts w:hint="eastAsia" w:ascii="宋体" w:hAnsi="宋体" w:eastAsia="宋体" w:cs="宋体"/>
          <w:szCs w:val="36"/>
          <w:highlight w:val="none"/>
        </w:rPr>
        <w:fldChar w:fldCharType="separate"/>
      </w:r>
      <w:r>
        <w:rPr>
          <w:rFonts w:hint="eastAsia" w:ascii="宋体" w:hAnsi="宋体" w:eastAsia="宋体" w:cs="宋体"/>
          <w:highlight w:val="none"/>
        </w:rPr>
        <w:t>附件1</w:t>
      </w:r>
      <w:r>
        <w:rPr>
          <w:rFonts w:hint="eastAsia" w:ascii="宋体" w:hAnsi="宋体" w:eastAsia="宋体" w:cs="宋体"/>
          <w:highlight w:val="none"/>
          <w:lang w:val="en-US" w:eastAsia="zh-CN"/>
        </w:rPr>
        <w:t>0</w:t>
      </w:r>
      <w:r>
        <w:rPr>
          <w:rFonts w:hint="eastAsia" w:ascii="宋体" w:hAnsi="宋体" w:eastAsia="宋体" w:cs="宋体"/>
          <w:highlight w:val="none"/>
        </w:rPr>
        <w:t xml:space="preserve"> 项目实施方案</w:t>
      </w:r>
      <w:r>
        <w:rPr>
          <w:highlight w:val="none"/>
        </w:rPr>
        <w:tab/>
      </w:r>
      <w:r>
        <w:rPr>
          <w:highlight w:val="none"/>
        </w:rPr>
        <w:fldChar w:fldCharType="begin"/>
      </w:r>
      <w:r>
        <w:rPr>
          <w:highlight w:val="none"/>
        </w:rPr>
        <w:instrText xml:space="preserve"> PAGEREF _Toc3515 \h </w:instrText>
      </w:r>
      <w:r>
        <w:rPr>
          <w:highlight w:val="none"/>
        </w:rPr>
        <w:fldChar w:fldCharType="separate"/>
      </w:r>
      <w:r>
        <w:rPr>
          <w:highlight w:val="none"/>
        </w:rPr>
        <w:t>46</w:t>
      </w:r>
      <w:r>
        <w:rPr>
          <w:highlight w:val="none"/>
        </w:rPr>
        <w:fldChar w:fldCharType="end"/>
      </w:r>
      <w:r>
        <w:rPr>
          <w:rFonts w:hint="eastAsia" w:ascii="宋体" w:hAnsi="宋体" w:eastAsia="宋体" w:cs="宋体"/>
          <w:color w:val="auto"/>
          <w:szCs w:val="36"/>
          <w:highlight w:val="none"/>
        </w:rPr>
        <w:fldChar w:fldCharType="end"/>
      </w:r>
    </w:p>
    <w:p w14:paraId="543C9E60">
      <w:pPr>
        <w:pStyle w:val="47"/>
        <w:tabs>
          <w:tab w:val="right" w:leader="dot" w:pos="9660"/>
          <w:tab w:val="clear" w:pos="9450"/>
        </w:tabs>
        <w:rPr>
          <w:highlight w:val="none"/>
        </w:rPr>
      </w:pPr>
      <w:r>
        <w:rPr>
          <w:rFonts w:hint="eastAsia" w:ascii="宋体" w:hAnsi="宋体" w:eastAsia="宋体" w:cs="宋体"/>
          <w:color w:val="auto"/>
          <w:szCs w:val="36"/>
          <w:highlight w:val="none"/>
        </w:rPr>
        <w:fldChar w:fldCharType="begin"/>
      </w:r>
      <w:r>
        <w:rPr>
          <w:rFonts w:hint="eastAsia" w:ascii="宋体" w:hAnsi="宋体" w:eastAsia="宋体" w:cs="宋体"/>
          <w:szCs w:val="36"/>
          <w:highlight w:val="none"/>
        </w:rPr>
        <w:instrText xml:space="preserve"> HYPERLINK \l _Toc14873 </w:instrText>
      </w:r>
      <w:r>
        <w:rPr>
          <w:rFonts w:hint="eastAsia" w:ascii="宋体" w:hAnsi="宋体" w:eastAsia="宋体" w:cs="宋体"/>
          <w:szCs w:val="36"/>
          <w:highlight w:val="none"/>
        </w:rPr>
        <w:fldChar w:fldCharType="separate"/>
      </w:r>
      <w:r>
        <w:rPr>
          <w:rFonts w:hint="eastAsia" w:ascii="宋体" w:hAnsi="宋体" w:eastAsia="宋体" w:cs="宋体"/>
          <w:highlight w:val="none"/>
        </w:rPr>
        <w:t>附件1</w:t>
      </w:r>
      <w:r>
        <w:rPr>
          <w:rFonts w:hint="eastAsia" w:ascii="宋体" w:hAnsi="宋体" w:eastAsia="宋体" w:cs="宋体"/>
          <w:highlight w:val="none"/>
          <w:lang w:val="en-US" w:eastAsia="zh-CN"/>
        </w:rPr>
        <w:t>1</w:t>
      </w:r>
      <w:r>
        <w:rPr>
          <w:rFonts w:hint="eastAsia" w:ascii="宋体" w:hAnsi="宋体" w:eastAsia="宋体" w:cs="宋体"/>
          <w:highlight w:val="none"/>
        </w:rPr>
        <w:t xml:space="preserve"> 项目组人员一览表</w:t>
      </w:r>
      <w:r>
        <w:rPr>
          <w:highlight w:val="none"/>
        </w:rPr>
        <w:tab/>
      </w:r>
      <w:r>
        <w:rPr>
          <w:highlight w:val="none"/>
        </w:rPr>
        <w:fldChar w:fldCharType="begin"/>
      </w:r>
      <w:r>
        <w:rPr>
          <w:highlight w:val="none"/>
        </w:rPr>
        <w:instrText xml:space="preserve"> PAGEREF _Toc14873 \h </w:instrText>
      </w:r>
      <w:r>
        <w:rPr>
          <w:highlight w:val="none"/>
        </w:rPr>
        <w:fldChar w:fldCharType="separate"/>
      </w:r>
      <w:r>
        <w:rPr>
          <w:highlight w:val="none"/>
        </w:rPr>
        <w:t>47</w:t>
      </w:r>
      <w:r>
        <w:rPr>
          <w:highlight w:val="none"/>
        </w:rPr>
        <w:fldChar w:fldCharType="end"/>
      </w:r>
      <w:r>
        <w:rPr>
          <w:rFonts w:hint="eastAsia" w:ascii="宋体" w:hAnsi="宋体" w:eastAsia="宋体" w:cs="宋体"/>
          <w:color w:val="auto"/>
          <w:szCs w:val="36"/>
          <w:highlight w:val="none"/>
        </w:rPr>
        <w:fldChar w:fldCharType="end"/>
      </w:r>
    </w:p>
    <w:p w14:paraId="7BA07C7A">
      <w:pPr>
        <w:pStyle w:val="47"/>
        <w:tabs>
          <w:tab w:val="right" w:leader="dot" w:pos="9660"/>
          <w:tab w:val="clear" w:pos="9450"/>
        </w:tabs>
        <w:rPr>
          <w:highlight w:val="none"/>
        </w:rPr>
      </w:pPr>
      <w:r>
        <w:rPr>
          <w:rFonts w:hint="eastAsia" w:ascii="宋体" w:hAnsi="宋体" w:eastAsia="宋体" w:cs="宋体"/>
          <w:color w:val="auto"/>
          <w:szCs w:val="36"/>
          <w:highlight w:val="none"/>
        </w:rPr>
        <w:fldChar w:fldCharType="begin"/>
      </w:r>
      <w:r>
        <w:rPr>
          <w:rFonts w:hint="eastAsia" w:ascii="宋体" w:hAnsi="宋体" w:eastAsia="宋体" w:cs="宋体"/>
          <w:szCs w:val="36"/>
          <w:highlight w:val="none"/>
        </w:rPr>
        <w:instrText xml:space="preserve"> HYPERLINK \l _Toc22942 </w:instrText>
      </w:r>
      <w:r>
        <w:rPr>
          <w:rFonts w:hint="eastAsia" w:ascii="宋体" w:hAnsi="宋体" w:eastAsia="宋体" w:cs="宋体"/>
          <w:szCs w:val="36"/>
          <w:highlight w:val="none"/>
        </w:rPr>
        <w:fldChar w:fldCharType="separate"/>
      </w:r>
      <w:r>
        <w:rPr>
          <w:rFonts w:hint="eastAsia" w:ascii="宋体" w:hAnsi="宋体" w:eastAsia="宋体" w:cs="宋体"/>
          <w:highlight w:val="none"/>
        </w:rPr>
        <w:t>附件1</w:t>
      </w:r>
      <w:r>
        <w:rPr>
          <w:rFonts w:hint="eastAsia" w:ascii="宋体" w:hAnsi="宋体" w:eastAsia="宋体" w:cs="宋体"/>
          <w:highlight w:val="none"/>
          <w:lang w:val="en-US" w:eastAsia="zh-CN"/>
        </w:rPr>
        <w:t>2</w:t>
      </w:r>
      <w:r>
        <w:rPr>
          <w:rFonts w:hint="eastAsia" w:ascii="宋体" w:hAnsi="宋体" w:eastAsia="宋体" w:cs="宋体"/>
          <w:highlight w:val="none"/>
        </w:rPr>
        <w:t xml:space="preserve"> 业绩一览表</w:t>
      </w:r>
      <w:r>
        <w:rPr>
          <w:highlight w:val="none"/>
        </w:rPr>
        <w:tab/>
      </w:r>
      <w:r>
        <w:rPr>
          <w:highlight w:val="none"/>
        </w:rPr>
        <w:fldChar w:fldCharType="begin"/>
      </w:r>
      <w:r>
        <w:rPr>
          <w:highlight w:val="none"/>
        </w:rPr>
        <w:instrText xml:space="preserve"> PAGEREF _Toc22942 \h </w:instrText>
      </w:r>
      <w:r>
        <w:rPr>
          <w:highlight w:val="none"/>
        </w:rPr>
        <w:fldChar w:fldCharType="separate"/>
      </w:r>
      <w:r>
        <w:rPr>
          <w:highlight w:val="none"/>
        </w:rPr>
        <w:t>48</w:t>
      </w:r>
      <w:r>
        <w:rPr>
          <w:highlight w:val="none"/>
        </w:rPr>
        <w:fldChar w:fldCharType="end"/>
      </w:r>
      <w:r>
        <w:rPr>
          <w:rFonts w:hint="eastAsia" w:ascii="宋体" w:hAnsi="宋体" w:eastAsia="宋体" w:cs="宋体"/>
          <w:color w:val="auto"/>
          <w:szCs w:val="36"/>
          <w:highlight w:val="none"/>
        </w:rPr>
        <w:fldChar w:fldCharType="end"/>
      </w:r>
    </w:p>
    <w:p w14:paraId="0B090D06">
      <w:pPr>
        <w:pStyle w:val="47"/>
        <w:tabs>
          <w:tab w:val="right" w:leader="dot" w:pos="9660"/>
          <w:tab w:val="clear" w:pos="9450"/>
        </w:tabs>
        <w:rPr>
          <w:highlight w:val="none"/>
        </w:rPr>
      </w:pPr>
      <w:r>
        <w:rPr>
          <w:rFonts w:hint="eastAsia" w:ascii="宋体" w:hAnsi="宋体" w:eastAsia="宋体" w:cs="宋体"/>
          <w:color w:val="auto"/>
          <w:szCs w:val="36"/>
          <w:highlight w:val="none"/>
        </w:rPr>
        <w:fldChar w:fldCharType="begin"/>
      </w:r>
      <w:r>
        <w:rPr>
          <w:rFonts w:hint="eastAsia" w:ascii="宋体" w:hAnsi="宋体" w:eastAsia="宋体" w:cs="宋体"/>
          <w:szCs w:val="36"/>
          <w:highlight w:val="none"/>
        </w:rPr>
        <w:instrText xml:space="preserve"> HYPERLINK \l _Toc11364 </w:instrText>
      </w:r>
      <w:r>
        <w:rPr>
          <w:rFonts w:hint="eastAsia" w:ascii="宋体" w:hAnsi="宋体" w:eastAsia="宋体" w:cs="宋体"/>
          <w:szCs w:val="36"/>
          <w:highlight w:val="none"/>
        </w:rPr>
        <w:fldChar w:fldCharType="separate"/>
      </w:r>
      <w:r>
        <w:rPr>
          <w:rFonts w:hint="eastAsia" w:ascii="宋体" w:hAnsi="宋体" w:eastAsia="宋体" w:cs="宋体"/>
          <w:highlight w:val="none"/>
        </w:rPr>
        <w:t>附件1</w:t>
      </w:r>
      <w:r>
        <w:rPr>
          <w:rFonts w:hint="eastAsia" w:ascii="宋体" w:hAnsi="宋体" w:eastAsia="宋体" w:cs="宋体"/>
          <w:highlight w:val="none"/>
          <w:lang w:val="en-US" w:eastAsia="zh-CN"/>
        </w:rPr>
        <w:t>3</w:t>
      </w:r>
      <w:r>
        <w:rPr>
          <w:rFonts w:hint="eastAsia" w:ascii="宋体" w:hAnsi="宋体" w:eastAsia="宋体" w:cs="宋体"/>
          <w:highlight w:val="none"/>
        </w:rPr>
        <w:t xml:space="preserve"> 商务条件响应及偏离表</w:t>
      </w:r>
      <w:r>
        <w:rPr>
          <w:highlight w:val="none"/>
        </w:rPr>
        <w:tab/>
      </w:r>
      <w:r>
        <w:rPr>
          <w:highlight w:val="none"/>
        </w:rPr>
        <w:fldChar w:fldCharType="begin"/>
      </w:r>
      <w:r>
        <w:rPr>
          <w:highlight w:val="none"/>
        </w:rPr>
        <w:instrText xml:space="preserve"> PAGEREF _Toc11364 \h </w:instrText>
      </w:r>
      <w:r>
        <w:rPr>
          <w:highlight w:val="none"/>
        </w:rPr>
        <w:fldChar w:fldCharType="separate"/>
      </w:r>
      <w:r>
        <w:rPr>
          <w:highlight w:val="none"/>
        </w:rPr>
        <w:t>49</w:t>
      </w:r>
      <w:r>
        <w:rPr>
          <w:highlight w:val="none"/>
        </w:rPr>
        <w:fldChar w:fldCharType="end"/>
      </w:r>
      <w:r>
        <w:rPr>
          <w:rFonts w:hint="eastAsia" w:ascii="宋体" w:hAnsi="宋体" w:eastAsia="宋体" w:cs="宋体"/>
          <w:color w:val="auto"/>
          <w:szCs w:val="36"/>
          <w:highlight w:val="none"/>
        </w:rPr>
        <w:fldChar w:fldCharType="end"/>
      </w:r>
    </w:p>
    <w:p w14:paraId="168623AE">
      <w:pPr>
        <w:pStyle w:val="47"/>
        <w:tabs>
          <w:tab w:val="right" w:leader="dot" w:pos="9660"/>
          <w:tab w:val="clear" w:pos="9450"/>
        </w:tabs>
        <w:rPr>
          <w:highlight w:val="none"/>
        </w:rPr>
      </w:pPr>
      <w:r>
        <w:rPr>
          <w:rFonts w:hint="eastAsia" w:ascii="宋体" w:hAnsi="宋体" w:eastAsia="宋体" w:cs="宋体"/>
          <w:color w:val="auto"/>
          <w:szCs w:val="36"/>
          <w:highlight w:val="none"/>
        </w:rPr>
        <w:fldChar w:fldCharType="begin"/>
      </w:r>
      <w:r>
        <w:rPr>
          <w:rFonts w:hint="eastAsia" w:ascii="宋体" w:hAnsi="宋体" w:eastAsia="宋体" w:cs="宋体"/>
          <w:szCs w:val="36"/>
          <w:highlight w:val="none"/>
        </w:rPr>
        <w:instrText xml:space="preserve"> HYPERLINK \l _Toc640 </w:instrText>
      </w:r>
      <w:r>
        <w:rPr>
          <w:rFonts w:hint="eastAsia" w:ascii="宋体" w:hAnsi="宋体" w:eastAsia="宋体" w:cs="宋体"/>
          <w:szCs w:val="36"/>
          <w:highlight w:val="none"/>
        </w:rPr>
        <w:fldChar w:fldCharType="separate"/>
      </w:r>
      <w:r>
        <w:rPr>
          <w:rFonts w:hint="eastAsia" w:ascii="宋体" w:hAnsi="宋体" w:eastAsia="宋体" w:cs="宋体"/>
          <w:highlight w:val="none"/>
        </w:rPr>
        <w:t>附件1</w:t>
      </w:r>
      <w:r>
        <w:rPr>
          <w:rFonts w:hint="eastAsia" w:ascii="宋体" w:hAnsi="宋体" w:eastAsia="宋体" w:cs="宋体"/>
          <w:highlight w:val="none"/>
          <w:lang w:val="en-US" w:eastAsia="zh-CN"/>
        </w:rPr>
        <w:t>4</w:t>
      </w:r>
      <w:r>
        <w:rPr>
          <w:rFonts w:hint="eastAsia" w:ascii="宋体" w:hAnsi="宋体" w:eastAsia="宋体" w:cs="宋体"/>
          <w:highlight w:val="none"/>
        </w:rPr>
        <w:t xml:space="preserve"> </w:t>
      </w:r>
      <w:r>
        <w:rPr>
          <w:rFonts w:hint="eastAsia" w:ascii="宋体" w:hAnsi="宋体" w:eastAsia="宋体" w:cs="宋体"/>
          <w:highlight w:val="none"/>
          <w:lang w:val="en-US" w:eastAsia="zh-CN"/>
        </w:rPr>
        <w:t>供应商与其他单位存在直接控股、管理关系情况表</w:t>
      </w:r>
      <w:r>
        <w:rPr>
          <w:highlight w:val="none"/>
        </w:rPr>
        <w:tab/>
      </w:r>
      <w:r>
        <w:rPr>
          <w:highlight w:val="none"/>
        </w:rPr>
        <w:fldChar w:fldCharType="begin"/>
      </w:r>
      <w:r>
        <w:rPr>
          <w:highlight w:val="none"/>
        </w:rPr>
        <w:instrText xml:space="preserve"> PAGEREF _Toc640 \h </w:instrText>
      </w:r>
      <w:r>
        <w:rPr>
          <w:highlight w:val="none"/>
        </w:rPr>
        <w:fldChar w:fldCharType="separate"/>
      </w:r>
      <w:r>
        <w:rPr>
          <w:highlight w:val="none"/>
        </w:rPr>
        <w:t>50</w:t>
      </w:r>
      <w:r>
        <w:rPr>
          <w:highlight w:val="none"/>
        </w:rPr>
        <w:fldChar w:fldCharType="end"/>
      </w:r>
      <w:r>
        <w:rPr>
          <w:rFonts w:hint="eastAsia" w:ascii="宋体" w:hAnsi="宋体" w:eastAsia="宋体" w:cs="宋体"/>
          <w:color w:val="auto"/>
          <w:szCs w:val="36"/>
          <w:highlight w:val="none"/>
        </w:rPr>
        <w:fldChar w:fldCharType="end"/>
      </w:r>
    </w:p>
    <w:p w14:paraId="3B2F98D1">
      <w:pPr>
        <w:pStyle w:val="47"/>
        <w:tabs>
          <w:tab w:val="right" w:leader="dot" w:pos="9660"/>
          <w:tab w:val="clear" w:pos="9450"/>
        </w:tabs>
        <w:rPr>
          <w:highlight w:val="none"/>
        </w:rPr>
      </w:pPr>
      <w:r>
        <w:rPr>
          <w:rFonts w:hint="eastAsia" w:ascii="宋体" w:hAnsi="宋体" w:eastAsia="宋体" w:cs="宋体"/>
          <w:color w:val="auto"/>
          <w:szCs w:val="36"/>
          <w:highlight w:val="none"/>
        </w:rPr>
        <w:fldChar w:fldCharType="begin"/>
      </w:r>
      <w:r>
        <w:rPr>
          <w:rFonts w:hint="eastAsia" w:ascii="宋体" w:hAnsi="宋体" w:eastAsia="宋体" w:cs="宋体"/>
          <w:szCs w:val="36"/>
          <w:highlight w:val="none"/>
        </w:rPr>
        <w:instrText xml:space="preserve"> HYPERLINK \l _Toc11664 </w:instrText>
      </w:r>
      <w:r>
        <w:rPr>
          <w:rFonts w:hint="eastAsia" w:ascii="宋体" w:hAnsi="宋体" w:eastAsia="宋体" w:cs="宋体"/>
          <w:szCs w:val="36"/>
          <w:highlight w:val="none"/>
        </w:rPr>
        <w:fldChar w:fldCharType="separate"/>
      </w:r>
      <w:r>
        <w:rPr>
          <w:rFonts w:hint="eastAsia" w:ascii="宋体" w:hAnsi="宋体" w:eastAsia="宋体" w:cs="宋体"/>
          <w:bCs/>
          <w:szCs w:val="28"/>
          <w:highlight w:val="none"/>
        </w:rPr>
        <w:t>附件1</w:t>
      </w:r>
      <w:r>
        <w:rPr>
          <w:rFonts w:hint="eastAsia" w:ascii="宋体" w:hAnsi="宋体" w:cs="宋体"/>
          <w:bCs/>
          <w:szCs w:val="28"/>
          <w:highlight w:val="none"/>
          <w:lang w:val="en-US" w:eastAsia="zh-CN"/>
        </w:rPr>
        <w:t>5</w:t>
      </w:r>
      <w:r>
        <w:rPr>
          <w:rFonts w:hint="eastAsia" w:ascii="宋体" w:hAnsi="宋体" w:eastAsia="宋体" w:cs="宋体"/>
          <w:bCs/>
          <w:szCs w:val="28"/>
          <w:highlight w:val="none"/>
          <w:lang w:val="en-US" w:eastAsia="zh-CN"/>
        </w:rPr>
        <w:t xml:space="preserve"> </w:t>
      </w:r>
      <w:r>
        <w:rPr>
          <w:rFonts w:hint="eastAsia" w:ascii="宋体" w:hAnsi="宋体" w:eastAsia="宋体" w:cs="宋体"/>
          <w:bCs/>
          <w:szCs w:val="28"/>
          <w:highlight w:val="none"/>
        </w:rPr>
        <w:t>关于符合本国产品标准的声明函</w:t>
      </w:r>
      <w:r>
        <w:rPr>
          <w:highlight w:val="none"/>
        </w:rPr>
        <w:tab/>
      </w:r>
      <w:r>
        <w:rPr>
          <w:highlight w:val="none"/>
        </w:rPr>
        <w:fldChar w:fldCharType="begin"/>
      </w:r>
      <w:r>
        <w:rPr>
          <w:highlight w:val="none"/>
        </w:rPr>
        <w:instrText xml:space="preserve"> PAGEREF _Toc11664 \h </w:instrText>
      </w:r>
      <w:r>
        <w:rPr>
          <w:highlight w:val="none"/>
        </w:rPr>
        <w:fldChar w:fldCharType="separate"/>
      </w:r>
      <w:r>
        <w:rPr>
          <w:highlight w:val="none"/>
        </w:rPr>
        <w:t>51</w:t>
      </w:r>
      <w:r>
        <w:rPr>
          <w:highlight w:val="none"/>
        </w:rPr>
        <w:fldChar w:fldCharType="end"/>
      </w:r>
      <w:r>
        <w:rPr>
          <w:rFonts w:hint="eastAsia" w:ascii="宋体" w:hAnsi="宋体" w:eastAsia="宋体" w:cs="宋体"/>
          <w:color w:val="auto"/>
          <w:szCs w:val="36"/>
          <w:highlight w:val="none"/>
        </w:rPr>
        <w:fldChar w:fldCharType="end"/>
      </w:r>
    </w:p>
    <w:p w14:paraId="47D64020">
      <w:pPr>
        <w:pStyle w:val="2"/>
        <w:rPr>
          <w:rFonts w:hint="eastAsia" w:ascii="宋体" w:hAnsi="宋体" w:eastAsia="宋体" w:cs="宋体"/>
          <w:color w:val="auto"/>
          <w:szCs w:val="36"/>
          <w:highlight w:val="none"/>
        </w:rPr>
        <w:sectPr>
          <w:footerReference r:id="rId9" w:type="first"/>
          <w:footerReference r:id="rId8" w:type="default"/>
          <w:pgSz w:w="11907" w:h="16840"/>
          <w:pgMar w:top="1134" w:right="882" w:bottom="1134" w:left="1365" w:header="567" w:footer="794" w:gutter="0"/>
          <w:pgNumType w:fmt="decimal"/>
          <w:cols w:space="720" w:num="1"/>
          <w:titlePg/>
          <w:docGrid w:type="lines" w:linePitch="305" w:charSpace="0"/>
        </w:sectPr>
      </w:pPr>
      <w:r>
        <w:rPr>
          <w:rFonts w:hint="eastAsia" w:ascii="宋体" w:hAnsi="宋体" w:eastAsia="宋体" w:cs="宋体"/>
          <w:color w:val="auto"/>
          <w:szCs w:val="36"/>
          <w:highlight w:val="none"/>
        </w:rPr>
        <w:fldChar w:fldCharType="end"/>
      </w:r>
      <w:bookmarkStart w:id="1" w:name="_Toc315875312"/>
      <w:bookmarkStart w:id="2" w:name="_Toc315868049"/>
    </w:p>
    <w:p w14:paraId="36D8CC49">
      <w:pPr>
        <w:pStyle w:val="2"/>
        <w:rPr>
          <w:rFonts w:hint="eastAsia" w:ascii="宋体" w:hAnsi="宋体" w:eastAsia="宋体" w:cs="宋体"/>
          <w:color w:val="auto"/>
          <w:highlight w:val="none"/>
        </w:rPr>
      </w:pPr>
      <w:bookmarkStart w:id="3" w:name="_Toc25984"/>
      <w:r>
        <w:rPr>
          <w:rFonts w:hint="eastAsia" w:ascii="宋体" w:hAnsi="宋体" w:eastAsia="宋体" w:cs="宋体"/>
          <w:color w:val="auto"/>
          <w:highlight w:val="none"/>
        </w:rPr>
        <w:t>第一章 投标邀请</w:t>
      </w:r>
      <w:bookmarkEnd w:id="0"/>
      <w:bookmarkEnd w:id="1"/>
      <w:bookmarkEnd w:id="2"/>
      <w:bookmarkEnd w:id="3"/>
    </w:p>
    <w:p w14:paraId="6B02A9CD">
      <w:pPr>
        <w:widowControl/>
        <w:spacing w:line="44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受</w:t>
      </w:r>
      <w:r>
        <w:rPr>
          <w:rFonts w:hint="eastAsia" w:ascii="宋体" w:hAnsi="宋体" w:eastAsia="宋体" w:cs="宋体"/>
          <w:color w:val="auto"/>
          <w:sz w:val="24"/>
          <w:szCs w:val="24"/>
          <w:highlight w:val="none"/>
          <w:lang w:eastAsia="zh-CN"/>
        </w:rPr>
        <w:t>常熟市梅李人民医院</w:t>
      </w:r>
      <w:r>
        <w:rPr>
          <w:rFonts w:hint="eastAsia" w:ascii="宋体" w:hAnsi="宋体" w:eastAsia="宋体" w:cs="宋体"/>
          <w:color w:val="auto"/>
          <w:sz w:val="24"/>
          <w:szCs w:val="24"/>
          <w:highlight w:val="none"/>
        </w:rPr>
        <w:t>的委托，</w:t>
      </w:r>
      <w:r>
        <w:rPr>
          <w:rFonts w:hint="eastAsia" w:ascii="宋体" w:hAnsi="宋体" w:eastAsia="宋体" w:cs="宋体"/>
          <w:color w:val="auto"/>
          <w:sz w:val="24"/>
          <w:szCs w:val="24"/>
          <w:highlight w:val="none"/>
          <w:lang w:eastAsia="zh-CN"/>
        </w:rPr>
        <w:t>苏州信达顺工程建设咨询有限公司</w:t>
      </w:r>
      <w:r>
        <w:rPr>
          <w:rFonts w:hint="eastAsia" w:ascii="宋体" w:hAnsi="宋体" w:eastAsia="宋体" w:cs="宋体"/>
          <w:color w:val="auto"/>
          <w:sz w:val="24"/>
          <w:szCs w:val="24"/>
          <w:highlight w:val="none"/>
        </w:rPr>
        <w:t>就</w:t>
      </w:r>
      <w:r>
        <w:rPr>
          <w:rFonts w:hint="eastAsia" w:ascii="宋体" w:hAnsi="宋体" w:eastAsia="宋体" w:cs="宋体"/>
          <w:color w:val="auto"/>
          <w:sz w:val="24"/>
          <w:szCs w:val="24"/>
          <w:highlight w:val="none"/>
          <w:lang w:eastAsia="zh-CN"/>
        </w:rPr>
        <w:t>常熟市梅李人民医院食堂供餐配送服务</w:t>
      </w:r>
      <w:r>
        <w:rPr>
          <w:rFonts w:hint="eastAsia" w:ascii="宋体" w:hAnsi="宋体" w:eastAsia="宋体" w:cs="宋体"/>
          <w:color w:val="auto"/>
          <w:sz w:val="24"/>
          <w:szCs w:val="24"/>
          <w:highlight w:val="none"/>
        </w:rPr>
        <w:t>（</w:t>
      </w:r>
      <w:r>
        <w:rPr>
          <w:rFonts w:hint="eastAsia" w:ascii="宋体" w:hAnsi="宋体" w:cs="宋体"/>
          <w:color w:val="auto"/>
          <w:sz w:val="24"/>
          <w:szCs w:val="24"/>
          <w:highlight w:val="none"/>
          <w:lang w:eastAsia="zh-CN"/>
        </w:rPr>
        <w:t>JSZC-320581-SZDS-G2026-0003</w:t>
      </w:r>
      <w:r>
        <w:rPr>
          <w:rFonts w:hint="eastAsia" w:ascii="宋体" w:hAnsi="宋体" w:eastAsia="宋体" w:cs="宋体"/>
          <w:color w:val="auto"/>
          <w:sz w:val="24"/>
          <w:szCs w:val="24"/>
          <w:highlight w:val="none"/>
        </w:rPr>
        <w:t>）项目进行公开招标采购，欢迎符合条件的供应商投标。</w:t>
      </w:r>
    </w:p>
    <w:tbl>
      <w:tblPr>
        <w:tblStyle w:val="5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876"/>
      </w:tblGrid>
      <w:tr w14:paraId="23B8B7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14" w:hRule="atLeast"/>
        </w:trPr>
        <w:tc>
          <w:tcPr>
            <w:tcW w:w="9876" w:type="dxa"/>
          </w:tcPr>
          <w:p w14:paraId="61D42B3F">
            <w:pPr>
              <w:spacing w:line="440" w:lineRule="exact"/>
              <w:jc w:val="left"/>
              <w:rPr>
                <w:rFonts w:hint="eastAsia" w:ascii="宋体" w:hAnsi="宋体" w:eastAsia="宋体" w:cs="宋体"/>
                <w:color w:val="auto"/>
                <w:sz w:val="24"/>
                <w:szCs w:val="24"/>
                <w:highlight w:val="none"/>
              </w:rPr>
            </w:pPr>
            <w:bookmarkStart w:id="4" w:name="OLE_LINK1"/>
            <w:r>
              <w:rPr>
                <w:rFonts w:hint="eastAsia" w:ascii="宋体" w:hAnsi="宋体" w:eastAsia="宋体" w:cs="宋体"/>
                <w:color w:val="auto"/>
                <w:sz w:val="24"/>
                <w:szCs w:val="24"/>
                <w:highlight w:val="none"/>
              </w:rPr>
              <w:t>项目概况：</w:t>
            </w:r>
          </w:p>
          <w:p w14:paraId="01802775">
            <w:pPr>
              <w:spacing w:line="440" w:lineRule="exact"/>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lang w:eastAsia="zh-CN"/>
              </w:rPr>
              <w:t>常熟市梅李人民医院食堂供餐配送服务</w:t>
            </w:r>
            <w:r>
              <w:rPr>
                <w:rFonts w:hint="eastAsia" w:ascii="宋体" w:hAnsi="宋体" w:eastAsia="宋体" w:cs="宋体"/>
                <w:color w:val="auto"/>
                <w:sz w:val="24"/>
                <w:szCs w:val="24"/>
                <w:highlight w:val="none"/>
              </w:rPr>
              <w:t>项目的潜在供应商应在“苏采云政府采购一体化平台”中参与项目获取招标文件，并于</w:t>
            </w:r>
            <w:r>
              <w:rPr>
                <w:rFonts w:hint="eastAsia" w:ascii="宋体" w:hAnsi="宋体" w:eastAsia="宋体" w:cs="宋体"/>
                <w:color w:val="auto"/>
                <w:sz w:val="24"/>
                <w:szCs w:val="24"/>
                <w:highlight w:val="none"/>
                <w:u w:val="single"/>
                <w:lang w:eastAsia="zh-CN"/>
              </w:rPr>
              <w:t>2026</w:t>
            </w:r>
            <w:r>
              <w:rPr>
                <w:rFonts w:hint="eastAsia" w:ascii="宋体" w:hAnsi="宋体" w:eastAsia="宋体" w:cs="宋体"/>
                <w:color w:val="auto"/>
                <w:sz w:val="24"/>
                <w:szCs w:val="24"/>
                <w:highlight w:val="none"/>
                <w:u w:val="single"/>
              </w:rPr>
              <w:t>年</w:t>
            </w:r>
            <w:r>
              <w:rPr>
                <w:rFonts w:hint="eastAsia" w:ascii="宋体" w:hAnsi="宋体" w:cs="宋体"/>
                <w:color w:val="auto"/>
                <w:sz w:val="24"/>
                <w:szCs w:val="24"/>
                <w:highlight w:val="none"/>
                <w:u w:val="single"/>
                <w:lang w:val="en-US" w:eastAsia="zh-CN"/>
              </w:rPr>
              <w:t>05</w:t>
            </w:r>
            <w:r>
              <w:rPr>
                <w:rFonts w:hint="eastAsia" w:ascii="宋体" w:hAnsi="宋体" w:eastAsia="宋体" w:cs="宋体"/>
                <w:color w:val="auto"/>
                <w:sz w:val="24"/>
                <w:szCs w:val="24"/>
                <w:highlight w:val="none"/>
                <w:u w:val="single"/>
              </w:rPr>
              <w:t>月</w:t>
            </w:r>
            <w:r>
              <w:rPr>
                <w:rFonts w:hint="eastAsia" w:ascii="宋体" w:hAnsi="宋体" w:cs="宋体"/>
                <w:color w:val="auto"/>
                <w:sz w:val="24"/>
                <w:szCs w:val="24"/>
                <w:highlight w:val="none"/>
                <w:u w:val="single"/>
                <w:lang w:val="en-US" w:eastAsia="zh-CN"/>
              </w:rPr>
              <w:t>08</w:t>
            </w:r>
            <w:r>
              <w:rPr>
                <w:rFonts w:hint="eastAsia" w:ascii="宋体" w:hAnsi="宋体" w:eastAsia="宋体" w:cs="宋体"/>
                <w:color w:val="auto"/>
                <w:sz w:val="24"/>
                <w:szCs w:val="24"/>
                <w:highlight w:val="none"/>
                <w:u w:val="single"/>
              </w:rPr>
              <w:t>日</w:t>
            </w:r>
            <w:r>
              <w:rPr>
                <w:rFonts w:hint="eastAsia" w:ascii="宋体" w:hAnsi="宋体" w:eastAsia="宋体" w:cs="宋体"/>
                <w:color w:val="auto"/>
                <w:sz w:val="24"/>
                <w:szCs w:val="24"/>
                <w:highlight w:val="none"/>
                <w:u w:val="single"/>
                <w:lang w:val="en-US" w:eastAsia="zh-CN"/>
              </w:rPr>
              <w:t>09</w:t>
            </w:r>
            <w:r>
              <w:rPr>
                <w:rFonts w:hint="eastAsia" w:ascii="宋体" w:hAnsi="宋体" w:eastAsia="宋体" w:cs="宋体"/>
                <w:color w:val="auto"/>
                <w:sz w:val="24"/>
                <w:szCs w:val="24"/>
                <w:highlight w:val="none"/>
                <w:u w:val="single"/>
              </w:rPr>
              <w:t>点00分</w:t>
            </w:r>
            <w:r>
              <w:rPr>
                <w:rFonts w:hint="eastAsia" w:ascii="宋体" w:hAnsi="宋体" w:eastAsia="宋体" w:cs="宋体"/>
                <w:color w:val="auto"/>
                <w:sz w:val="24"/>
                <w:szCs w:val="24"/>
                <w:highlight w:val="none"/>
              </w:rPr>
              <w:t>（北京时间）前按规定提交投标文件。</w:t>
            </w:r>
          </w:p>
        </w:tc>
      </w:tr>
    </w:tbl>
    <w:p w14:paraId="6B4179F0">
      <w:pPr>
        <w:spacing w:line="46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一、项目基本情况</w:t>
      </w:r>
    </w:p>
    <w:p w14:paraId="7452ED61">
      <w:pPr>
        <w:spacing w:line="440" w:lineRule="exact"/>
        <w:ind w:firstLine="480" w:firstLineChars="20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项目编号：</w:t>
      </w:r>
      <w:r>
        <w:rPr>
          <w:rFonts w:hint="eastAsia" w:ascii="宋体" w:hAnsi="宋体" w:cs="宋体"/>
          <w:color w:val="auto"/>
          <w:sz w:val="24"/>
          <w:szCs w:val="24"/>
          <w:highlight w:val="none"/>
          <w:lang w:eastAsia="zh-CN"/>
        </w:rPr>
        <w:t>JSZC-320581-SZDS-G2026-0003</w:t>
      </w:r>
    </w:p>
    <w:p w14:paraId="7D72228C">
      <w:pPr>
        <w:spacing w:line="440" w:lineRule="exact"/>
        <w:ind w:firstLine="480" w:firstLineChars="20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项目名称：</w:t>
      </w:r>
      <w:r>
        <w:rPr>
          <w:rFonts w:hint="eastAsia" w:ascii="宋体" w:hAnsi="宋体" w:eastAsia="宋体" w:cs="宋体"/>
          <w:color w:val="auto"/>
          <w:sz w:val="24"/>
          <w:szCs w:val="24"/>
          <w:highlight w:val="none"/>
          <w:lang w:eastAsia="zh-CN"/>
        </w:rPr>
        <w:t>常熟市梅李人民医院食堂供餐配送服务</w:t>
      </w:r>
    </w:p>
    <w:p w14:paraId="09EC508E">
      <w:pPr>
        <w:spacing w:line="44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预算金额：人民币</w:t>
      </w:r>
      <w:r>
        <w:rPr>
          <w:rFonts w:hint="eastAsia" w:ascii="宋体" w:hAnsi="宋体" w:eastAsia="宋体" w:cs="宋体"/>
          <w:color w:val="auto"/>
          <w:sz w:val="24"/>
          <w:szCs w:val="24"/>
          <w:highlight w:val="none"/>
          <w:lang w:val="en-US" w:eastAsia="zh-CN"/>
        </w:rPr>
        <w:t>2920000.00</w:t>
      </w:r>
      <w:r>
        <w:rPr>
          <w:rFonts w:hint="eastAsia" w:ascii="宋体" w:hAnsi="宋体" w:eastAsia="宋体" w:cs="宋体"/>
          <w:color w:val="auto"/>
          <w:sz w:val="24"/>
          <w:szCs w:val="24"/>
          <w:highlight w:val="none"/>
        </w:rPr>
        <w:t>元</w:t>
      </w:r>
      <w:bookmarkStart w:id="5" w:name="_Toc35393791"/>
      <w:bookmarkStart w:id="6" w:name="_Toc28359080"/>
      <w:bookmarkStart w:id="7" w:name="_Toc35393622"/>
      <w:bookmarkStart w:id="8" w:name="_Toc28359003"/>
    </w:p>
    <w:p w14:paraId="6F7FBD22">
      <w:pPr>
        <w:spacing w:line="44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采购需求：本项目采购内容为</w:t>
      </w:r>
      <w:r>
        <w:rPr>
          <w:rFonts w:hint="eastAsia" w:ascii="宋体" w:hAnsi="宋体" w:eastAsia="宋体" w:cs="宋体"/>
          <w:color w:val="auto"/>
          <w:sz w:val="24"/>
          <w:szCs w:val="24"/>
          <w:highlight w:val="none"/>
          <w:lang w:eastAsia="zh-CN"/>
        </w:rPr>
        <w:t>常熟市梅李人民医院</w:t>
      </w:r>
      <w:r>
        <w:rPr>
          <w:rFonts w:hint="eastAsia" w:ascii="宋体" w:hAnsi="宋体" w:eastAsia="宋体" w:cs="宋体"/>
          <w:color w:val="auto"/>
          <w:sz w:val="24"/>
          <w:szCs w:val="24"/>
          <w:highlight w:val="none"/>
        </w:rPr>
        <w:t>所需的</w:t>
      </w:r>
      <w:r>
        <w:rPr>
          <w:rFonts w:hint="eastAsia" w:ascii="宋体" w:hAnsi="宋体" w:eastAsia="宋体" w:cs="宋体"/>
          <w:color w:val="auto"/>
          <w:sz w:val="24"/>
          <w:szCs w:val="24"/>
          <w:highlight w:val="none"/>
          <w:lang w:eastAsia="zh-CN"/>
        </w:rPr>
        <w:t>常熟市梅李人民医院食堂供餐配送服务</w:t>
      </w:r>
      <w:r>
        <w:rPr>
          <w:rFonts w:hint="eastAsia" w:ascii="宋体" w:hAnsi="宋体" w:eastAsia="宋体" w:cs="宋体"/>
          <w:color w:val="auto"/>
          <w:sz w:val="24"/>
          <w:szCs w:val="24"/>
          <w:highlight w:val="none"/>
        </w:rPr>
        <w:t>。</w:t>
      </w:r>
    </w:p>
    <w:p w14:paraId="29DE13AA">
      <w:pPr>
        <w:spacing w:line="44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合同履行期限：</w:t>
      </w:r>
      <w:r>
        <w:rPr>
          <w:rFonts w:hint="eastAsia" w:ascii="宋体" w:hAnsi="宋体" w:eastAsia="宋体" w:cs="宋体"/>
          <w:sz w:val="24"/>
          <w:szCs w:val="24"/>
          <w:highlight w:val="none"/>
        </w:rPr>
        <w:t>自合同签订之日起2年。</w:t>
      </w:r>
    </w:p>
    <w:p w14:paraId="08581887">
      <w:pPr>
        <w:spacing w:line="44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本项目不接受联合体。</w:t>
      </w:r>
    </w:p>
    <w:p w14:paraId="058F5384">
      <w:pPr>
        <w:spacing w:line="46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二、申请人的资格要求：</w:t>
      </w:r>
      <w:bookmarkEnd w:id="5"/>
      <w:bookmarkEnd w:id="6"/>
      <w:bookmarkEnd w:id="7"/>
      <w:bookmarkEnd w:id="8"/>
    </w:p>
    <w:p w14:paraId="43A85777">
      <w:pPr>
        <w:spacing w:line="440" w:lineRule="exact"/>
        <w:ind w:firstLine="480" w:firstLineChars="200"/>
        <w:rPr>
          <w:rFonts w:hint="eastAsia" w:ascii="宋体" w:hAnsi="宋体" w:eastAsia="宋体" w:cs="宋体"/>
          <w:color w:val="auto"/>
          <w:sz w:val="24"/>
          <w:szCs w:val="24"/>
          <w:highlight w:val="none"/>
        </w:rPr>
      </w:pPr>
      <w:bookmarkStart w:id="9" w:name="_Toc35393796"/>
      <w:bookmarkStart w:id="10" w:name="_Toc35393627"/>
      <w:bookmarkStart w:id="11" w:name="_Toc28359085"/>
      <w:bookmarkStart w:id="12" w:name="_Toc28359008"/>
      <w:r>
        <w:rPr>
          <w:rFonts w:hint="eastAsia" w:ascii="宋体" w:hAnsi="宋体" w:eastAsia="宋体" w:cs="宋体"/>
          <w:color w:val="auto"/>
          <w:sz w:val="24"/>
          <w:szCs w:val="24"/>
          <w:highlight w:val="none"/>
        </w:rPr>
        <w:t>1、满足《中华人民共和国政府采购法》第二十二条规定；</w:t>
      </w:r>
    </w:p>
    <w:p w14:paraId="2908A608">
      <w:pPr>
        <w:spacing w:line="440" w:lineRule="exact"/>
        <w:ind w:firstLine="720" w:firstLineChars="3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具有独立承担民事责任的能力。</w:t>
      </w:r>
    </w:p>
    <w:p w14:paraId="7AED5D9E">
      <w:pPr>
        <w:spacing w:line="440" w:lineRule="exact"/>
        <w:ind w:firstLine="720" w:firstLineChars="3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具有良好的商业信誉和健全的财务会计制度。</w:t>
      </w:r>
    </w:p>
    <w:p w14:paraId="46DC165C">
      <w:pPr>
        <w:spacing w:line="440" w:lineRule="exact"/>
        <w:ind w:firstLine="720" w:firstLineChars="3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具有履行合同所必需的设备和专业技术能力。</w:t>
      </w:r>
    </w:p>
    <w:p w14:paraId="597BC610">
      <w:pPr>
        <w:spacing w:line="440" w:lineRule="exact"/>
        <w:ind w:firstLine="720" w:firstLineChars="3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有依法缴纳税收和社会保障资金的良好记录。</w:t>
      </w:r>
    </w:p>
    <w:p w14:paraId="4BDF05A2">
      <w:pPr>
        <w:spacing w:line="440" w:lineRule="exact"/>
        <w:ind w:firstLine="720" w:firstLineChars="3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5</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参加采购活动前三年内，在经营活动中没有重大违法记录。</w:t>
      </w:r>
    </w:p>
    <w:p w14:paraId="4BDB7694">
      <w:pPr>
        <w:spacing w:line="440" w:lineRule="exact"/>
        <w:ind w:firstLine="720" w:firstLineChars="3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6</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法律、行政法规规定的其他条件。</w:t>
      </w:r>
    </w:p>
    <w:p w14:paraId="02446E0C">
      <w:pPr>
        <w:spacing w:line="44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2、落实政府采购政策需满足的资格要求：</w:t>
      </w:r>
    </w:p>
    <w:p w14:paraId="0C1431A7">
      <w:pPr>
        <w:spacing w:line="440" w:lineRule="exact"/>
        <w:ind w:firstLine="482" w:firstLineChars="200"/>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本项目专门面向中小企业采购，所属行业为</w:t>
      </w:r>
      <w:r>
        <w:rPr>
          <w:rFonts w:hint="eastAsia" w:ascii="宋体" w:hAnsi="宋体" w:eastAsia="宋体" w:cs="宋体"/>
          <w:b/>
          <w:bCs/>
          <w:color w:val="auto"/>
          <w:sz w:val="24"/>
          <w:szCs w:val="24"/>
          <w:highlight w:val="none"/>
          <w:lang w:eastAsia="zh-CN"/>
        </w:rPr>
        <w:t>餐饮业</w:t>
      </w:r>
      <w:r>
        <w:rPr>
          <w:rFonts w:hint="eastAsia" w:ascii="宋体" w:hAnsi="宋体" w:eastAsia="宋体" w:cs="宋体"/>
          <w:b/>
          <w:bCs/>
          <w:color w:val="auto"/>
          <w:sz w:val="24"/>
          <w:szCs w:val="24"/>
          <w:highlight w:val="none"/>
        </w:rPr>
        <w:t>，投标时须提供《中小企业声明函》。</w:t>
      </w:r>
    </w:p>
    <w:p w14:paraId="42978B29">
      <w:pPr>
        <w:spacing w:line="440" w:lineRule="exact"/>
        <w:ind w:firstLine="482" w:firstLineChars="200"/>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注：对残疾人福利性单位、监狱企业视同小型、微型企业，但须按要求提供有关声明函或证明文件。</w:t>
      </w:r>
    </w:p>
    <w:p w14:paraId="00D431D2">
      <w:pPr>
        <w:spacing w:line="44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3、本项目的特定资格要求：</w:t>
      </w:r>
      <w:r>
        <w:rPr>
          <w:rFonts w:hint="eastAsia" w:ascii="宋体" w:hAnsi="宋体" w:cs="宋体"/>
          <w:color w:val="auto"/>
          <w:sz w:val="24"/>
          <w:szCs w:val="24"/>
          <w:highlight w:val="none"/>
          <w:lang w:val="en-US" w:eastAsia="zh-CN"/>
        </w:rPr>
        <w:t>投标人</w:t>
      </w:r>
      <w:r>
        <w:rPr>
          <w:rFonts w:hint="eastAsia" w:ascii="宋体" w:hAnsi="宋体" w:eastAsia="宋体" w:cs="宋体"/>
          <w:sz w:val="24"/>
          <w:highlight w:val="none"/>
        </w:rPr>
        <w:t>具有有效的食品经营许可证（许可范围需包含：餐饮服务经营者（集体用餐配送单位））</w:t>
      </w:r>
      <w:r>
        <w:rPr>
          <w:rFonts w:hint="eastAsia" w:ascii="宋体" w:hAnsi="宋体" w:eastAsia="宋体" w:cs="宋体"/>
          <w:color w:val="auto"/>
          <w:sz w:val="24"/>
          <w:szCs w:val="24"/>
          <w:highlight w:val="none"/>
        </w:rPr>
        <w:t>。</w:t>
      </w:r>
    </w:p>
    <w:p w14:paraId="0BF04E05">
      <w:pPr>
        <w:spacing w:line="44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三、获取招标文件：</w:t>
      </w:r>
    </w:p>
    <w:p w14:paraId="3AEC8CDB">
      <w:pPr>
        <w:spacing w:line="44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时间：自招标文件公告发布之日起5个工作日。</w:t>
      </w:r>
    </w:p>
    <w:p w14:paraId="37E90F2E">
      <w:pPr>
        <w:spacing w:line="44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方式：在“苏采云政府采购一体化平台”自行免费下载招标文件。</w:t>
      </w:r>
    </w:p>
    <w:p w14:paraId="20CF3DDF">
      <w:pPr>
        <w:spacing w:line="44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参与采购活动：供应商进入苏州市政府采购网，点击网站首页底部苏采云图标，插入CA证书登陆“苏采云”系统后选择具体项目，点击“我要参与”并签章提交《投标供应商确认函》，提交《投标供应商确认函》日期视同为依法获取招标文件日期。对《投标供应商确认函》供应商应予打印保留。</w:t>
      </w:r>
    </w:p>
    <w:p w14:paraId="3EE5A0B0">
      <w:pPr>
        <w:spacing w:line="44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电子投标准备：供应商在“苏采云”系统中操作成功参与项目后，必须在“已参与项目”界面中下载电子招标文件（后缀名为“.kedt”）并导入政府采购客户端工具后方可进行电子投标文件的制作和提交（具体详见《苏采云系统供应商操作手册》，网址链接https://czju.suzhou.gov.cn/zfcg/html/content/20231220161910031.shtml）。</w:t>
      </w:r>
    </w:p>
    <w:p w14:paraId="4D875C31">
      <w:pPr>
        <w:spacing w:line="44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售价：免费。</w:t>
      </w:r>
    </w:p>
    <w:p w14:paraId="2B098D56">
      <w:pPr>
        <w:spacing w:line="44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四、提交投标文件截止时间、开标时间和地点：</w:t>
      </w:r>
    </w:p>
    <w:p w14:paraId="7299E59F">
      <w:pPr>
        <w:widowControl/>
        <w:spacing w:line="440" w:lineRule="exact"/>
        <w:ind w:firstLine="480" w:firstLineChars="200"/>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lang w:eastAsia="zh-CN"/>
        </w:rPr>
        <w:t>2026</w:t>
      </w:r>
      <w:r>
        <w:rPr>
          <w:rFonts w:hint="eastAsia" w:ascii="宋体" w:hAnsi="宋体" w:eastAsia="宋体" w:cs="宋体"/>
          <w:color w:val="auto"/>
          <w:kern w:val="0"/>
          <w:sz w:val="24"/>
          <w:szCs w:val="24"/>
          <w:highlight w:val="none"/>
        </w:rPr>
        <w:t>年</w:t>
      </w:r>
      <w:r>
        <w:rPr>
          <w:rFonts w:hint="eastAsia" w:ascii="宋体" w:hAnsi="宋体" w:cs="宋体"/>
          <w:color w:val="auto"/>
          <w:kern w:val="0"/>
          <w:sz w:val="24"/>
          <w:szCs w:val="24"/>
          <w:highlight w:val="none"/>
          <w:lang w:val="en-US" w:eastAsia="zh-CN"/>
        </w:rPr>
        <w:t>05</w:t>
      </w:r>
      <w:r>
        <w:rPr>
          <w:rFonts w:hint="eastAsia" w:ascii="宋体" w:hAnsi="宋体" w:eastAsia="宋体" w:cs="宋体"/>
          <w:color w:val="auto"/>
          <w:kern w:val="0"/>
          <w:sz w:val="24"/>
          <w:szCs w:val="24"/>
          <w:highlight w:val="none"/>
        </w:rPr>
        <w:t>月</w:t>
      </w:r>
      <w:r>
        <w:rPr>
          <w:rFonts w:hint="eastAsia" w:ascii="宋体" w:hAnsi="宋体" w:cs="宋体"/>
          <w:color w:val="auto"/>
          <w:kern w:val="0"/>
          <w:sz w:val="24"/>
          <w:szCs w:val="24"/>
          <w:highlight w:val="none"/>
          <w:lang w:val="en-US" w:eastAsia="zh-CN"/>
        </w:rPr>
        <w:t>08</w:t>
      </w:r>
      <w:r>
        <w:rPr>
          <w:rFonts w:hint="eastAsia" w:ascii="宋体" w:hAnsi="宋体" w:eastAsia="宋体" w:cs="宋体"/>
          <w:color w:val="auto"/>
          <w:kern w:val="0"/>
          <w:sz w:val="24"/>
          <w:szCs w:val="24"/>
          <w:highlight w:val="none"/>
        </w:rPr>
        <w:t>日</w:t>
      </w:r>
      <w:r>
        <w:rPr>
          <w:rFonts w:hint="eastAsia" w:ascii="宋体" w:hAnsi="宋体" w:eastAsia="宋体" w:cs="宋体"/>
          <w:color w:val="auto"/>
          <w:kern w:val="0"/>
          <w:sz w:val="24"/>
          <w:szCs w:val="24"/>
          <w:highlight w:val="none"/>
          <w:lang w:val="en-US" w:eastAsia="zh-CN"/>
        </w:rPr>
        <w:t>09</w:t>
      </w:r>
      <w:r>
        <w:rPr>
          <w:rFonts w:hint="eastAsia" w:ascii="宋体" w:hAnsi="宋体" w:eastAsia="宋体" w:cs="宋体"/>
          <w:color w:val="auto"/>
          <w:kern w:val="0"/>
          <w:sz w:val="24"/>
          <w:szCs w:val="24"/>
          <w:highlight w:val="none"/>
        </w:rPr>
        <w:t>点00分（北京时间）</w:t>
      </w:r>
    </w:p>
    <w:p w14:paraId="51D97C83">
      <w:pPr>
        <w:widowControl/>
        <w:spacing w:line="44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本项目采用电子化采购形式，供应商应当按照《苏采云系统供应商操作手册》规定，须在投标截止时间前制作并上传电子投标文件至“苏采云”系统，否则视为放弃参加该采购项目。</w:t>
      </w:r>
    </w:p>
    <w:p w14:paraId="630AD0B0">
      <w:pPr>
        <w:widowControl/>
        <w:spacing w:line="44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本项目采用不见面开标，供应商登录“苏采云”系统在平台首页点击“开标大厅”，进入江苏省政府采购一体化不见面开标（采购）大厅，选择对应项目，并按系统提示完成开标流程。</w:t>
      </w:r>
    </w:p>
    <w:p w14:paraId="5D8E10D0">
      <w:pPr>
        <w:widowControl/>
        <w:spacing w:line="44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开标地点：苏采云系统网上开标大厅</w:t>
      </w:r>
    </w:p>
    <w:p w14:paraId="5559EDFB">
      <w:pPr>
        <w:spacing w:line="44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五、</w:t>
      </w:r>
      <w:bookmarkEnd w:id="4"/>
      <w:bookmarkEnd w:id="9"/>
      <w:bookmarkEnd w:id="10"/>
      <w:bookmarkEnd w:id="11"/>
      <w:bookmarkEnd w:id="12"/>
      <w:r>
        <w:rPr>
          <w:rFonts w:hint="eastAsia" w:ascii="宋体" w:hAnsi="宋体" w:eastAsia="宋体" w:cs="宋体"/>
          <w:b/>
          <w:color w:val="auto"/>
          <w:sz w:val="24"/>
          <w:szCs w:val="24"/>
          <w:highlight w:val="none"/>
        </w:rPr>
        <w:t>公告期限：</w:t>
      </w:r>
    </w:p>
    <w:p w14:paraId="4D5F09B8">
      <w:pPr>
        <w:widowControl/>
        <w:spacing w:line="44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自本公告发布之日起5个工作日。</w:t>
      </w:r>
    </w:p>
    <w:p w14:paraId="10D9AA0D">
      <w:pPr>
        <w:spacing w:line="44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六、其他补充事宜：</w:t>
      </w:r>
    </w:p>
    <w:p w14:paraId="2CF22311">
      <w:pPr>
        <w:spacing w:line="440" w:lineRule="exact"/>
        <w:ind w:firstLine="480" w:firstLineChars="200"/>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t>1、根据省财政厅《关于更换全省政府采购交易系统C A数字证书和电子签章的通知》（苏财购〔2023〕101号），“苏采云”系统目前支持的CA数字证书、电子签章为江苏省电子政务证书认证中心CA和方正国际软件（北京）有限公司电子签章。供应商参与本项目采购活动需办理、使用上述CA证书和电子签章，具体办理方法请访问“苏采云”系统登录页面（http://jszfcg.jscz.gov.cn/jszc/login）点击“新CA办理指南”进行查阅，江苏省内各地区办理的“苏采云”系统下的政务CA证书全省通用。</w:t>
      </w:r>
    </w:p>
    <w:p w14:paraId="4BC83508">
      <w:pPr>
        <w:spacing w:line="440" w:lineRule="exact"/>
        <w:ind w:firstLine="480" w:firstLineChars="200"/>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t>2、供应商在“苏采云”系统操作过程中如有疑问，请按以下方式联系：</w:t>
      </w:r>
    </w:p>
    <w:p w14:paraId="58987939">
      <w:pPr>
        <w:spacing w:line="440" w:lineRule="exact"/>
        <w:ind w:firstLine="480" w:firstLineChars="200"/>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t>CA技术咨询电话：400-608-6099；电子签章技术咨询电话:15380932027、13675197356、025-83633811、025-83633812；系统使用指导与咨询电话：18261002950、13914088964、0519-86722802；智能客服：登录苏采云系统后，联系系统右下方智能客服图标进行咨询。</w:t>
      </w:r>
    </w:p>
    <w:p w14:paraId="4A02CDB0">
      <w:pPr>
        <w:spacing w:line="440" w:lineRule="exact"/>
        <w:ind w:firstLine="480" w:firstLineChars="200"/>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t>3、有关本次采购的事项若存在变动或修改，敬请及时关注“苏州市政府采购网”发布的更正公告</w:t>
      </w:r>
      <w:bookmarkStart w:id="13" w:name="_Hlk87882297"/>
      <w:r>
        <w:rPr>
          <w:rFonts w:hint="eastAsia" w:ascii="宋体" w:hAnsi="宋体" w:eastAsia="宋体" w:cs="宋体"/>
          <w:color w:val="auto"/>
          <w:sz w:val="24"/>
          <w:szCs w:val="32"/>
          <w:highlight w:val="none"/>
        </w:rPr>
        <w:t>，并按规定获取相关信息内容。</w:t>
      </w:r>
      <w:bookmarkEnd w:id="13"/>
    </w:p>
    <w:p w14:paraId="6A720285">
      <w:pPr>
        <w:spacing w:line="440" w:lineRule="exact"/>
        <w:ind w:firstLine="480" w:firstLineChars="200"/>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t>4、本次采购项目有关时间要求均以北京时间为标准，使用24小时制。</w:t>
      </w:r>
    </w:p>
    <w:p w14:paraId="7CEE0F35">
      <w:pPr>
        <w:spacing w:line="440" w:lineRule="exact"/>
        <w:ind w:firstLine="480" w:firstLineChars="200"/>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t>5、公告媒体：</w:t>
      </w:r>
      <w:r>
        <w:rPr>
          <w:rFonts w:hint="eastAsia" w:ascii="宋体" w:hAnsi="宋体" w:eastAsia="宋体" w:cs="宋体"/>
          <w:color w:val="auto"/>
          <w:sz w:val="24"/>
          <w:highlight w:val="none"/>
        </w:rPr>
        <w:t>苏州市政府采购网、江苏政府采购网</w:t>
      </w:r>
      <w:r>
        <w:rPr>
          <w:rFonts w:hint="eastAsia" w:ascii="宋体" w:hAnsi="宋体" w:eastAsia="宋体" w:cs="宋体"/>
          <w:color w:val="auto"/>
          <w:sz w:val="24"/>
          <w:szCs w:val="32"/>
          <w:highlight w:val="none"/>
        </w:rPr>
        <w:t>。</w:t>
      </w:r>
    </w:p>
    <w:p w14:paraId="1D96F1D6">
      <w:pPr>
        <w:spacing w:line="44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32"/>
          <w:highlight w:val="none"/>
        </w:rPr>
        <w:t>6、</w:t>
      </w:r>
      <w:r>
        <w:rPr>
          <w:rFonts w:hint="eastAsia" w:ascii="宋体" w:hAnsi="宋体" w:eastAsia="宋体" w:cs="宋体"/>
          <w:color w:val="auto"/>
          <w:sz w:val="24"/>
          <w:szCs w:val="24"/>
          <w:highlight w:val="none"/>
        </w:rPr>
        <w:t>其他要求：</w:t>
      </w:r>
    </w:p>
    <w:p w14:paraId="7FFCE586">
      <w:pPr>
        <w:spacing w:line="44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根据政府采购法及相关法规，将对投标人进行信用查询。投标人被列入失信被执行人或重大税收违法案件当事人名单或政府采购严重违法失信行为记录名单，以及存在其他不符合《政府采购法》第二十二条规定条件的不良信用记录，拒绝其参与政府采购活动。</w:t>
      </w:r>
    </w:p>
    <w:p w14:paraId="4D695586">
      <w:pPr>
        <w:spacing w:line="440" w:lineRule="exact"/>
        <w:ind w:firstLine="480" w:firstLineChars="200"/>
        <w:rPr>
          <w:rFonts w:hint="eastAsia" w:ascii="宋体" w:hAnsi="宋体" w:eastAsia="宋体" w:cs="宋体"/>
          <w:color w:val="auto"/>
          <w:sz w:val="24"/>
          <w:szCs w:val="32"/>
          <w:highlight w:val="none"/>
        </w:rPr>
      </w:pPr>
      <w:r>
        <w:rPr>
          <w:rFonts w:hint="eastAsia" w:ascii="宋体" w:hAnsi="宋体" w:eastAsia="宋体" w:cs="宋体"/>
          <w:color w:val="auto"/>
          <w:sz w:val="24"/>
          <w:szCs w:val="24"/>
          <w:highlight w:val="none"/>
        </w:rPr>
        <w:t>（2）单位负责人为同一人或者存在直接控股、管理关系的不同投标人，不得参加同一合同项下的政府采购活动。</w:t>
      </w:r>
    </w:p>
    <w:p w14:paraId="731771DC">
      <w:pPr>
        <w:spacing w:line="44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七、凡对本次采购提出询问，请按以下方式联系。</w:t>
      </w:r>
    </w:p>
    <w:p w14:paraId="188BE489">
      <w:pPr>
        <w:spacing w:line="440" w:lineRule="exact"/>
        <w:ind w:firstLine="480" w:firstLineChars="200"/>
        <w:rPr>
          <w:rFonts w:hint="eastAsia" w:ascii="宋体" w:hAnsi="宋体" w:eastAsia="宋体" w:cs="宋体"/>
          <w:color w:val="auto"/>
          <w:sz w:val="24"/>
          <w:szCs w:val="32"/>
          <w:highlight w:val="none"/>
        </w:rPr>
      </w:pPr>
      <w:bookmarkStart w:id="14" w:name="_Toc315868050"/>
      <w:bookmarkStart w:id="15" w:name="_Toc315875313"/>
      <w:bookmarkStart w:id="16" w:name="_Toc158691766"/>
      <w:r>
        <w:rPr>
          <w:rFonts w:hint="eastAsia" w:ascii="宋体" w:hAnsi="宋体" w:eastAsia="宋体" w:cs="宋体"/>
          <w:color w:val="auto"/>
          <w:sz w:val="24"/>
          <w:szCs w:val="32"/>
          <w:highlight w:val="none"/>
        </w:rPr>
        <w:t>1、采购人信息</w:t>
      </w:r>
    </w:p>
    <w:p w14:paraId="21B9DD18">
      <w:pPr>
        <w:spacing w:line="440" w:lineRule="exact"/>
        <w:ind w:firstLine="480" w:firstLineChars="200"/>
        <w:rPr>
          <w:rFonts w:hint="eastAsia" w:ascii="宋体" w:hAnsi="宋体" w:eastAsia="宋体" w:cs="宋体"/>
          <w:color w:val="auto"/>
          <w:sz w:val="24"/>
          <w:szCs w:val="32"/>
          <w:highlight w:val="none"/>
          <w:lang w:eastAsia="zh-CN"/>
        </w:rPr>
      </w:pPr>
      <w:r>
        <w:rPr>
          <w:rFonts w:hint="eastAsia" w:ascii="宋体" w:hAnsi="宋体" w:eastAsia="宋体" w:cs="宋体"/>
          <w:color w:val="auto"/>
          <w:sz w:val="24"/>
          <w:szCs w:val="32"/>
          <w:highlight w:val="none"/>
        </w:rPr>
        <w:t>单位名称：</w:t>
      </w:r>
      <w:r>
        <w:rPr>
          <w:rFonts w:hint="eastAsia" w:ascii="宋体" w:hAnsi="宋体" w:eastAsia="宋体" w:cs="宋体"/>
          <w:color w:val="auto"/>
          <w:sz w:val="24"/>
          <w:szCs w:val="32"/>
          <w:highlight w:val="none"/>
          <w:lang w:eastAsia="zh-CN"/>
        </w:rPr>
        <w:t>常熟市梅李人民医院</w:t>
      </w:r>
    </w:p>
    <w:p w14:paraId="5F5F0EA7">
      <w:pPr>
        <w:spacing w:line="440" w:lineRule="exact"/>
        <w:ind w:firstLine="480" w:firstLineChars="200"/>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t>单位地址：常熟市梅李镇人民路5号</w:t>
      </w:r>
    </w:p>
    <w:p w14:paraId="5A38EB50">
      <w:pPr>
        <w:spacing w:line="440" w:lineRule="exact"/>
        <w:ind w:firstLine="480" w:firstLineChars="200"/>
        <w:rPr>
          <w:rFonts w:hint="eastAsia" w:ascii="宋体" w:hAnsi="宋体" w:eastAsia="宋体" w:cs="宋体"/>
          <w:color w:val="auto"/>
          <w:sz w:val="24"/>
          <w:szCs w:val="32"/>
          <w:highlight w:val="none"/>
          <w:lang w:val="en-US" w:eastAsia="zh-CN"/>
        </w:rPr>
      </w:pPr>
      <w:r>
        <w:rPr>
          <w:rFonts w:hint="eastAsia" w:ascii="宋体" w:hAnsi="宋体" w:eastAsia="宋体" w:cs="宋体"/>
          <w:color w:val="auto"/>
          <w:sz w:val="24"/>
          <w:szCs w:val="32"/>
          <w:highlight w:val="none"/>
        </w:rPr>
        <w:t>联系人：</w:t>
      </w:r>
      <w:r>
        <w:rPr>
          <w:rFonts w:hint="eastAsia" w:ascii="宋体" w:hAnsi="宋体" w:eastAsia="宋体" w:cs="宋体"/>
          <w:color w:val="auto"/>
          <w:sz w:val="24"/>
          <w:szCs w:val="32"/>
          <w:highlight w:val="none"/>
          <w:lang w:val="en-US" w:eastAsia="zh-CN"/>
        </w:rPr>
        <w:t>赵驾</w:t>
      </w:r>
    </w:p>
    <w:p w14:paraId="3ABE39E9">
      <w:pPr>
        <w:spacing w:line="440" w:lineRule="exact"/>
        <w:ind w:firstLine="480" w:firstLineChars="200"/>
        <w:rPr>
          <w:rFonts w:hint="eastAsia" w:ascii="宋体" w:hAnsi="宋体" w:eastAsia="宋体" w:cs="宋体"/>
          <w:color w:val="auto"/>
          <w:sz w:val="24"/>
          <w:szCs w:val="32"/>
          <w:highlight w:val="none"/>
          <w:lang w:val="en-US" w:eastAsia="zh-CN"/>
        </w:rPr>
      </w:pPr>
      <w:r>
        <w:rPr>
          <w:rFonts w:hint="eastAsia" w:ascii="宋体" w:hAnsi="宋体" w:eastAsia="宋体" w:cs="宋体"/>
          <w:color w:val="auto"/>
          <w:sz w:val="24"/>
          <w:szCs w:val="32"/>
          <w:highlight w:val="none"/>
        </w:rPr>
        <w:t>联系方式：</w:t>
      </w:r>
      <w:bookmarkStart w:id="17" w:name="_Toc28359086"/>
      <w:bookmarkStart w:id="18" w:name="_Toc28359009"/>
      <w:r>
        <w:rPr>
          <w:rFonts w:hint="eastAsia" w:ascii="宋体" w:hAnsi="宋体" w:eastAsia="宋体" w:cs="宋体"/>
          <w:color w:val="auto"/>
          <w:sz w:val="24"/>
          <w:szCs w:val="32"/>
          <w:highlight w:val="none"/>
        </w:rPr>
        <w:t>0512-</w:t>
      </w:r>
      <w:r>
        <w:rPr>
          <w:rFonts w:hint="eastAsia" w:ascii="宋体" w:hAnsi="宋体" w:eastAsia="宋体" w:cs="宋体"/>
          <w:color w:val="auto"/>
          <w:sz w:val="24"/>
          <w:szCs w:val="32"/>
          <w:highlight w:val="none"/>
          <w:lang w:val="en-US" w:eastAsia="zh-CN"/>
        </w:rPr>
        <w:t>52082340</w:t>
      </w:r>
    </w:p>
    <w:bookmarkEnd w:id="17"/>
    <w:bookmarkEnd w:id="18"/>
    <w:p w14:paraId="0E779292">
      <w:pPr>
        <w:spacing w:line="440" w:lineRule="exact"/>
        <w:ind w:firstLine="480" w:firstLineChars="200"/>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t>2、采购代理机构信息</w:t>
      </w:r>
    </w:p>
    <w:p w14:paraId="0749D16C">
      <w:pPr>
        <w:spacing w:line="440" w:lineRule="exact"/>
        <w:ind w:firstLine="480" w:firstLineChars="200"/>
        <w:rPr>
          <w:rFonts w:hint="eastAsia" w:ascii="宋体" w:hAnsi="宋体" w:eastAsia="宋体" w:cs="宋体"/>
          <w:color w:val="auto"/>
          <w:sz w:val="24"/>
          <w:szCs w:val="32"/>
          <w:highlight w:val="none"/>
          <w:lang w:eastAsia="zh-CN"/>
        </w:rPr>
      </w:pPr>
      <w:r>
        <w:rPr>
          <w:rFonts w:hint="eastAsia" w:ascii="宋体" w:hAnsi="宋体" w:eastAsia="宋体" w:cs="宋体"/>
          <w:color w:val="auto"/>
          <w:sz w:val="24"/>
          <w:szCs w:val="32"/>
          <w:highlight w:val="none"/>
        </w:rPr>
        <w:t>单位名称：</w:t>
      </w:r>
      <w:r>
        <w:rPr>
          <w:rFonts w:hint="eastAsia" w:ascii="宋体" w:hAnsi="宋体" w:eastAsia="宋体" w:cs="宋体"/>
          <w:color w:val="auto"/>
          <w:sz w:val="24"/>
          <w:szCs w:val="32"/>
          <w:highlight w:val="none"/>
          <w:lang w:eastAsia="zh-CN"/>
        </w:rPr>
        <w:t>苏州信达顺工程建设咨询有限公司</w:t>
      </w:r>
    </w:p>
    <w:p w14:paraId="4B50057B">
      <w:pPr>
        <w:spacing w:line="440" w:lineRule="exact"/>
        <w:ind w:firstLine="480" w:firstLineChars="200"/>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t>单位地址：常熟市海虞镇河滨路100-5号</w:t>
      </w:r>
    </w:p>
    <w:p w14:paraId="4D3F38B2">
      <w:pPr>
        <w:spacing w:line="440" w:lineRule="exact"/>
        <w:ind w:firstLine="480" w:firstLineChars="200"/>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t>联系人：王丹婷、王琳钰</w:t>
      </w:r>
    </w:p>
    <w:p w14:paraId="62EF67C5">
      <w:pPr>
        <w:spacing w:line="440" w:lineRule="exact"/>
        <w:ind w:firstLine="480" w:firstLineChars="200"/>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t>联系方式：0512-52156272</w:t>
      </w:r>
    </w:p>
    <w:p w14:paraId="4A3A2DE7">
      <w:pPr>
        <w:spacing w:line="440" w:lineRule="exact"/>
        <w:ind w:firstLine="480" w:firstLineChars="200"/>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t>3、项目联系方式</w:t>
      </w:r>
    </w:p>
    <w:p w14:paraId="3ED9A3A2">
      <w:pPr>
        <w:spacing w:line="440" w:lineRule="exact"/>
        <w:ind w:firstLine="480" w:firstLineChars="200"/>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t>项目联系人：王丹婷、王琳钰</w:t>
      </w:r>
    </w:p>
    <w:p w14:paraId="17E04D9B">
      <w:pPr>
        <w:spacing w:line="440" w:lineRule="exact"/>
        <w:ind w:firstLine="480" w:firstLineChars="200"/>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t>电话：0512-52156272</w:t>
      </w:r>
    </w:p>
    <w:p w14:paraId="1ECA2A6B">
      <w:pPr>
        <w:spacing w:line="440" w:lineRule="exact"/>
        <w:ind w:firstLine="5400" w:firstLineChars="2250"/>
        <w:jc w:val="right"/>
        <w:rPr>
          <w:rFonts w:hint="eastAsia" w:ascii="宋体" w:hAnsi="宋体" w:eastAsia="宋体" w:cs="宋体"/>
          <w:color w:val="auto"/>
          <w:sz w:val="24"/>
          <w:szCs w:val="24"/>
          <w:highlight w:val="none"/>
        </w:rPr>
      </w:pPr>
    </w:p>
    <w:p w14:paraId="217249CD">
      <w:pPr>
        <w:rPr>
          <w:rFonts w:hint="eastAsia" w:ascii="宋体" w:hAnsi="宋体" w:eastAsia="宋体" w:cs="宋体"/>
          <w:color w:val="auto"/>
          <w:highlight w:val="none"/>
        </w:rPr>
      </w:pPr>
      <w:r>
        <w:rPr>
          <w:rFonts w:hint="eastAsia" w:ascii="宋体" w:hAnsi="宋体" w:eastAsia="宋体" w:cs="宋体"/>
          <w:color w:val="auto"/>
          <w:highlight w:val="none"/>
        </w:rPr>
        <w:br w:type="page"/>
      </w:r>
    </w:p>
    <w:p w14:paraId="7C022A75">
      <w:pPr>
        <w:pStyle w:val="2"/>
        <w:rPr>
          <w:rFonts w:hint="eastAsia" w:ascii="宋体" w:hAnsi="宋体" w:eastAsia="宋体" w:cs="宋体"/>
          <w:color w:val="auto"/>
          <w:highlight w:val="none"/>
        </w:rPr>
      </w:pPr>
      <w:bookmarkStart w:id="19" w:name="_Toc610"/>
      <w:r>
        <w:rPr>
          <w:rFonts w:hint="eastAsia" w:ascii="宋体" w:hAnsi="宋体" w:eastAsia="宋体" w:cs="宋体"/>
          <w:color w:val="auto"/>
          <w:highlight w:val="none"/>
        </w:rPr>
        <w:t>第二章 投标人须知</w:t>
      </w:r>
      <w:bookmarkEnd w:id="14"/>
      <w:bookmarkEnd w:id="15"/>
      <w:bookmarkEnd w:id="16"/>
      <w:bookmarkEnd w:id="19"/>
    </w:p>
    <w:p w14:paraId="287E8332">
      <w:pPr>
        <w:keepNext/>
        <w:keepLines/>
        <w:spacing w:before="152" w:beforeLines="50" w:after="152" w:afterLines="50" w:line="440" w:lineRule="exact"/>
        <w:outlineLvl w:val="1"/>
        <w:rPr>
          <w:rFonts w:hint="eastAsia" w:ascii="宋体" w:hAnsi="宋体" w:eastAsia="宋体" w:cs="宋体"/>
          <w:b/>
          <w:bCs/>
          <w:color w:val="auto"/>
          <w:sz w:val="32"/>
          <w:szCs w:val="32"/>
          <w:highlight w:val="none"/>
        </w:rPr>
      </w:pPr>
      <w:bookmarkStart w:id="20" w:name="_Toc21213"/>
      <w:bookmarkStart w:id="21" w:name="_Toc19236"/>
      <w:bookmarkStart w:id="22" w:name="_Toc11952"/>
      <w:bookmarkStart w:id="23" w:name="_Toc25166"/>
      <w:bookmarkStart w:id="24" w:name="_Toc22217"/>
      <w:bookmarkStart w:id="25" w:name="_Toc4302"/>
      <w:bookmarkStart w:id="26" w:name="_Toc26983"/>
      <w:bookmarkStart w:id="27" w:name="_Toc27163"/>
      <w:bookmarkStart w:id="28" w:name="_Toc1525"/>
      <w:bookmarkStart w:id="29" w:name="_Toc13772"/>
      <w:bookmarkStart w:id="30" w:name="_Toc14411"/>
      <w:r>
        <w:rPr>
          <w:rFonts w:hint="eastAsia" w:ascii="宋体" w:hAnsi="宋体" w:eastAsia="宋体" w:cs="宋体"/>
          <w:b/>
          <w:bCs/>
          <w:color w:val="auto"/>
          <w:sz w:val="32"/>
          <w:szCs w:val="32"/>
          <w:highlight w:val="none"/>
        </w:rPr>
        <w:t>一、总则</w:t>
      </w:r>
      <w:bookmarkEnd w:id="20"/>
      <w:bookmarkEnd w:id="21"/>
      <w:bookmarkEnd w:id="22"/>
      <w:bookmarkEnd w:id="23"/>
      <w:bookmarkEnd w:id="24"/>
      <w:bookmarkEnd w:id="25"/>
      <w:bookmarkEnd w:id="26"/>
      <w:bookmarkEnd w:id="27"/>
      <w:bookmarkEnd w:id="28"/>
      <w:bookmarkEnd w:id="29"/>
      <w:bookmarkEnd w:id="30"/>
    </w:p>
    <w:p w14:paraId="371E453D">
      <w:pPr>
        <w:keepNext/>
        <w:keepLines/>
        <w:spacing w:line="440" w:lineRule="exact"/>
        <w:ind w:firstLine="138" w:firstLineChars="49"/>
        <w:rPr>
          <w:rFonts w:hint="eastAsia" w:ascii="宋体" w:hAnsi="宋体" w:eastAsia="宋体" w:cs="宋体"/>
          <w:b/>
          <w:color w:val="auto"/>
          <w:kern w:val="0"/>
          <w:sz w:val="24"/>
          <w:szCs w:val="24"/>
          <w:highlight w:val="none"/>
        </w:rPr>
      </w:pPr>
      <w:r>
        <w:rPr>
          <w:rFonts w:hint="eastAsia" w:ascii="宋体" w:hAnsi="宋体" w:eastAsia="宋体" w:cs="宋体"/>
          <w:b/>
          <w:color w:val="auto"/>
          <w:kern w:val="0"/>
          <w:sz w:val="28"/>
          <w:szCs w:val="28"/>
          <w:highlight w:val="none"/>
        </w:rPr>
        <w:t>1、采购方式及适用法律</w:t>
      </w:r>
    </w:p>
    <w:p w14:paraId="6E976B5E">
      <w:pPr>
        <w:spacing w:line="440" w:lineRule="exact"/>
        <w:ind w:firstLine="480" w:firstLineChars="200"/>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1.1 本次政府采购活动采取公开招标方式，本招标文件仅适用于招标公告中所述项目。</w:t>
      </w:r>
    </w:p>
    <w:p w14:paraId="1A32CA0A">
      <w:pPr>
        <w:spacing w:line="440" w:lineRule="exact"/>
        <w:ind w:firstLine="480"/>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1.2本次招标及由此产生的合同受中华人民共和国有关的法律法规制约和保护。</w:t>
      </w:r>
    </w:p>
    <w:p w14:paraId="1C4526CA">
      <w:pPr>
        <w:keepNext/>
        <w:keepLines/>
        <w:spacing w:line="440" w:lineRule="exact"/>
        <w:ind w:firstLine="138" w:firstLineChars="49"/>
        <w:rPr>
          <w:rFonts w:hint="eastAsia" w:ascii="宋体" w:hAnsi="宋体" w:eastAsia="宋体" w:cs="宋体"/>
          <w:b/>
          <w:color w:val="auto"/>
          <w:kern w:val="0"/>
          <w:sz w:val="24"/>
          <w:szCs w:val="24"/>
          <w:highlight w:val="none"/>
        </w:rPr>
      </w:pPr>
      <w:r>
        <w:rPr>
          <w:rFonts w:hint="eastAsia" w:ascii="宋体" w:hAnsi="宋体" w:eastAsia="宋体" w:cs="宋体"/>
          <w:b/>
          <w:color w:val="auto"/>
          <w:kern w:val="0"/>
          <w:sz w:val="28"/>
          <w:szCs w:val="28"/>
          <w:highlight w:val="none"/>
        </w:rPr>
        <w:t>2、定义</w:t>
      </w:r>
    </w:p>
    <w:p w14:paraId="371567E8">
      <w:pPr>
        <w:spacing w:line="440" w:lineRule="exact"/>
        <w:ind w:firstLine="480"/>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2.1“采购人”系指购买本项目货物并接受相关服务的国家机关、事业单位、团体组织。</w:t>
      </w:r>
    </w:p>
    <w:p w14:paraId="6EC6400E">
      <w:pPr>
        <w:spacing w:line="440" w:lineRule="exact"/>
        <w:ind w:firstLine="480"/>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2.2“采购代理机构”系指依法接受采购人委托，从事货物和服务等政府采购业务的采购代理机构（以下简称“代理机构”）。本项目采购代理机构为</w:t>
      </w:r>
      <w:r>
        <w:rPr>
          <w:rFonts w:hint="eastAsia" w:ascii="宋体" w:hAnsi="宋体" w:eastAsia="宋体" w:cs="宋体"/>
          <w:color w:val="auto"/>
          <w:kern w:val="0"/>
          <w:sz w:val="24"/>
          <w:szCs w:val="24"/>
          <w:highlight w:val="none"/>
          <w:lang w:eastAsia="zh-CN"/>
        </w:rPr>
        <w:t>苏州信达顺工程建设咨询有限公司</w:t>
      </w:r>
      <w:r>
        <w:rPr>
          <w:rFonts w:hint="eastAsia" w:ascii="宋体" w:hAnsi="宋体" w:eastAsia="宋体" w:cs="宋体"/>
          <w:color w:val="auto"/>
          <w:kern w:val="0"/>
          <w:sz w:val="24"/>
          <w:szCs w:val="24"/>
          <w:highlight w:val="none"/>
        </w:rPr>
        <w:t>。</w:t>
      </w:r>
    </w:p>
    <w:p w14:paraId="4665C3BD">
      <w:pPr>
        <w:spacing w:line="440" w:lineRule="exact"/>
        <w:ind w:firstLine="480"/>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2.3“</w:t>
      </w:r>
      <w:r>
        <w:rPr>
          <w:rFonts w:hint="eastAsia" w:ascii="宋体" w:hAnsi="宋体" w:eastAsia="宋体" w:cs="宋体"/>
          <w:color w:val="auto"/>
          <w:sz w:val="24"/>
          <w:szCs w:val="21"/>
          <w:highlight w:val="none"/>
        </w:rPr>
        <w:t>投标人</w:t>
      </w:r>
      <w:r>
        <w:rPr>
          <w:rFonts w:hint="eastAsia" w:ascii="宋体" w:hAnsi="宋体" w:eastAsia="宋体" w:cs="宋体"/>
          <w:color w:val="auto"/>
          <w:kern w:val="0"/>
          <w:sz w:val="24"/>
          <w:szCs w:val="24"/>
          <w:highlight w:val="none"/>
        </w:rPr>
        <w:t>”系指响应招标、参加投标竞争的供应商。</w:t>
      </w:r>
    </w:p>
    <w:p w14:paraId="1F8CEF3B">
      <w:pPr>
        <w:keepNext/>
        <w:keepLines/>
        <w:spacing w:line="440" w:lineRule="exact"/>
        <w:ind w:firstLine="138" w:firstLineChars="49"/>
        <w:rPr>
          <w:rFonts w:hint="eastAsia" w:ascii="宋体" w:hAnsi="宋体" w:eastAsia="宋体" w:cs="宋体"/>
          <w:b/>
          <w:color w:val="auto"/>
          <w:kern w:val="0"/>
          <w:sz w:val="28"/>
          <w:szCs w:val="28"/>
          <w:highlight w:val="none"/>
        </w:rPr>
      </w:pPr>
      <w:r>
        <w:rPr>
          <w:rFonts w:hint="eastAsia" w:ascii="宋体" w:hAnsi="宋体" w:eastAsia="宋体" w:cs="宋体"/>
          <w:b/>
          <w:color w:val="auto"/>
          <w:kern w:val="0"/>
          <w:sz w:val="28"/>
          <w:szCs w:val="28"/>
          <w:highlight w:val="none"/>
        </w:rPr>
        <w:t>3、合格的投标人</w:t>
      </w:r>
    </w:p>
    <w:p w14:paraId="04B52BC4">
      <w:pPr>
        <w:spacing w:line="440" w:lineRule="exact"/>
        <w:ind w:firstLine="480"/>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3.1 满足招标公告中供应商的资格要求的规定，详见《第一章 投标邀请》中投标人资格要求。</w:t>
      </w:r>
    </w:p>
    <w:p w14:paraId="3BB2DB69">
      <w:pPr>
        <w:spacing w:line="440" w:lineRule="exact"/>
        <w:ind w:firstLine="480"/>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3.2 满足本文件实质性要求和条件的规定。</w:t>
      </w:r>
    </w:p>
    <w:p w14:paraId="3E5028C9">
      <w:pPr>
        <w:keepNext/>
        <w:keepLines/>
        <w:spacing w:line="440" w:lineRule="exact"/>
        <w:ind w:firstLine="138" w:firstLineChars="49"/>
        <w:rPr>
          <w:rFonts w:hint="eastAsia" w:ascii="宋体" w:hAnsi="宋体" w:eastAsia="宋体" w:cs="宋体"/>
          <w:b/>
          <w:color w:val="auto"/>
          <w:kern w:val="0"/>
          <w:sz w:val="28"/>
          <w:szCs w:val="28"/>
          <w:highlight w:val="none"/>
        </w:rPr>
      </w:pPr>
      <w:r>
        <w:rPr>
          <w:rFonts w:hint="eastAsia" w:ascii="宋体" w:hAnsi="宋体" w:eastAsia="宋体" w:cs="宋体"/>
          <w:b/>
          <w:color w:val="auto"/>
          <w:kern w:val="0"/>
          <w:sz w:val="28"/>
          <w:szCs w:val="28"/>
          <w:highlight w:val="none"/>
        </w:rPr>
        <w:t>4、投标费用</w:t>
      </w:r>
    </w:p>
    <w:p w14:paraId="60312013">
      <w:pPr>
        <w:spacing w:line="440" w:lineRule="exact"/>
        <w:ind w:firstLine="480"/>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4.1无论投标过程中的做法和结果如何，投标人应自行承担所有与准备和参加投标有关的全部费用。</w:t>
      </w:r>
    </w:p>
    <w:p w14:paraId="40E70FBB">
      <w:pPr>
        <w:spacing w:line="440" w:lineRule="exact"/>
        <w:ind w:firstLine="480"/>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4.2本次招标采购代理机构和采购人不收取标书工本费。</w:t>
      </w:r>
    </w:p>
    <w:p w14:paraId="5F3434E8">
      <w:pPr>
        <w:spacing w:line="440" w:lineRule="exact"/>
        <w:ind w:firstLine="480"/>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4.3本项目采购代理服务费由中标人支付，在代理机构发成交通知书时由中标人向采购代理机构支付中标服务费¥</w:t>
      </w:r>
      <w:r>
        <w:rPr>
          <w:rFonts w:hint="eastAsia" w:ascii="宋体" w:hAnsi="宋体" w:eastAsia="宋体" w:cs="宋体"/>
          <w:color w:val="auto"/>
          <w:kern w:val="0"/>
          <w:sz w:val="24"/>
          <w:szCs w:val="24"/>
          <w:highlight w:val="none"/>
          <w:lang w:val="en-US" w:eastAsia="zh-CN"/>
        </w:rPr>
        <w:t>21252.00</w:t>
      </w:r>
      <w:r>
        <w:rPr>
          <w:rFonts w:hint="eastAsia" w:ascii="宋体" w:hAnsi="宋体" w:eastAsia="宋体" w:cs="宋体"/>
          <w:color w:val="auto"/>
          <w:kern w:val="0"/>
          <w:sz w:val="24"/>
          <w:szCs w:val="24"/>
          <w:highlight w:val="none"/>
        </w:rPr>
        <w:t>元（人民币</w:t>
      </w:r>
      <w:r>
        <w:rPr>
          <w:rFonts w:hint="eastAsia" w:ascii="宋体" w:hAnsi="宋体" w:eastAsia="宋体" w:cs="宋体"/>
          <w:color w:val="auto"/>
          <w:kern w:val="0"/>
          <w:sz w:val="24"/>
          <w:szCs w:val="24"/>
          <w:highlight w:val="none"/>
          <w:lang w:val="en-US" w:eastAsia="zh-CN"/>
        </w:rPr>
        <w:t>贰万壹仟贰佰伍拾贰</w:t>
      </w:r>
      <w:r>
        <w:rPr>
          <w:rFonts w:hint="eastAsia" w:ascii="宋体" w:hAnsi="宋体" w:eastAsia="宋体" w:cs="宋体"/>
          <w:color w:val="auto"/>
          <w:kern w:val="0"/>
          <w:sz w:val="24"/>
          <w:szCs w:val="24"/>
          <w:highlight w:val="none"/>
        </w:rPr>
        <w:t>元整），一次性付清。</w:t>
      </w:r>
    </w:p>
    <w:p w14:paraId="6AF9A3DC">
      <w:pPr>
        <w:keepNext/>
        <w:keepLines/>
        <w:spacing w:line="440" w:lineRule="exact"/>
        <w:ind w:firstLine="138" w:firstLineChars="49"/>
        <w:rPr>
          <w:rFonts w:hint="eastAsia" w:ascii="宋体" w:hAnsi="宋体" w:eastAsia="宋体" w:cs="宋体"/>
          <w:b/>
          <w:color w:val="auto"/>
          <w:kern w:val="0"/>
          <w:sz w:val="28"/>
          <w:szCs w:val="28"/>
          <w:highlight w:val="none"/>
        </w:rPr>
      </w:pPr>
      <w:r>
        <w:rPr>
          <w:rFonts w:hint="eastAsia" w:ascii="宋体" w:hAnsi="宋体" w:eastAsia="宋体" w:cs="宋体"/>
          <w:b/>
          <w:color w:val="auto"/>
          <w:kern w:val="0"/>
          <w:sz w:val="28"/>
          <w:szCs w:val="28"/>
          <w:highlight w:val="none"/>
        </w:rPr>
        <w:t>5、招标文件的约束力</w:t>
      </w:r>
    </w:p>
    <w:p w14:paraId="2ED5291E">
      <w:pPr>
        <w:spacing w:line="44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rPr>
        <w:t>5.1</w:t>
      </w:r>
      <w:r>
        <w:rPr>
          <w:rFonts w:hint="eastAsia" w:ascii="宋体" w:hAnsi="宋体" w:eastAsia="宋体" w:cs="宋体"/>
          <w:color w:val="auto"/>
          <w:sz w:val="24"/>
          <w:szCs w:val="24"/>
          <w:highlight w:val="none"/>
        </w:rPr>
        <w:t>投标人一旦参加本项目采购活动，即被认为接受了本招标文件的规定和约束。</w:t>
      </w:r>
    </w:p>
    <w:p w14:paraId="29E9E90A">
      <w:pPr>
        <w:keepNext/>
        <w:keepLines/>
        <w:spacing w:before="152" w:beforeLines="50" w:after="152" w:afterLines="50" w:line="440" w:lineRule="exact"/>
        <w:outlineLvl w:val="1"/>
        <w:rPr>
          <w:rFonts w:hint="eastAsia" w:ascii="宋体" w:hAnsi="宋体" w:eastAsia="宋体" w:cs="宋体"/>
          <w:b/>
          <w:bCs/>
          <w:color w:val="auto"/>
          <w:sz w:val="32"/>
          <w:szCs w:val="32"/>
          <w:highlight w:val="none"/>
        </w:rPr>
      </w:pPr>
      <w:bookmarkStart w:id="31" w:name="_Toc24886"/>
      <w:bookmarkStart w:id="32" w:name="_Toc5354"/>
      <w:bookmarkStart w:id="33" w:name="_Toc11533"/>
      <w:bookmarkStart w:id="34" w:name="_Toc3850"/>
      <w:bookmarkStart w:id="35" w:name="_Toc5867"/>
      <w:bookmarkStart w:id="36" w:name="_Toc15419"/>
      <w:bookmarkStart w:id="37" w:name="_Toc10408"/>
      <w:bookmarkStart w:id="38" w:name="_Toc13953"/>
      <w:bookmarkStart w:id="39" w:name="_Toc20302"/>
      <w:bookmarkStart w:id="40" w:name="_Toc13416"/>
      <w:bookmarkStart w:id="41" w:name="_Toc2267"/>
      <w:r>
        <w:rPr>
          <w:rFonts w:hint="eastAsia" w:ascii="宋体" w:hAnsi="宋体" w:eastAsia="宋体" w:cs="宋体"/>
          <w:b/>
          <w:bCs/>
          <w:color w:val="auto"/>
          <w:sz w:val="32"/>
          <w:szCs w:val="32"/>
          <w:highlight w:val="none"/>
        </w:rPr>
        <w:t>二、</w:t>
      </w:r>
      <w:bookmarkEnd w:id="31"/>
      <w:bookmarkEnd w:id="32"/>
      <w:bookmarkEnd w:id="33"/>
      <w:bookmarkEnd w:id="34"/>
      <w:bookmarkEnd w:id="35"/>
      <w:bookmarkEnd w:id="36"/>
      <w:r>
        <w:rPr>
          <w:rFonts w:hint="eastAsia" w:ascii="宋体" w:hAnsi="宋体" w:eastAsia="宋体" w:cs="宋体"/>
          <w:b/>
          <w:bCs/>
          <w:color w:val="auto"/>
          <w:sz w:val="32"/>
          <w:szCs w:val="32"/>
          <w:highlight w:val="none"/>
        </w:rPr>
        <w:t>招标文件</w:t>
      </w:r>
      <w:bookmarkEnd w:id="37"/>
      <w:bookmarkEnd w:id="38"/>
      <w:bookmarkEnd w:id="39"/>
      <w:bookmarkEnd w:id="40"/>
      <w:bookmarkEnd w:id="41"/>
    </w:p>
    <w:p w14:paraId="3491DC99">
      <w:pPr>
        <w:keepNext/>
        <w:keepLines/>
        <w:spacing w:line="440" w:lineRule="exact"/>
        <w:ind w:firstLine="138" w:firstLineChars="49"/>
        <w:rPr>
          <w:rFonts w:hint="eastAsia" w:ascii="宋体" w:hAnsi="宋体" w:eastAsia="宋体" w:cs="宋体"/>
          <w:b/>
          <w:color w:val="auto"/>
          <w:kern w:val="0"/>
          <w:sz w:val="28"/>
          <w:szCs w:val="28"/>
          <w:highlight w:val="none"/>
        </w:rPr>
      </w:pPr>
      <w:r>
        <w:rPr>
          <w:rFonts w:hint="eastAsia" w:ascii="宋体" w:hAnsi="宋体" w:eastAsia="宋体" w:cs="宋体"/>
          <w:b/>
          <w:color w:val="auto"/>
          <w:kern w:val="0"/>
          <w:sz w:val="28"/>
          <w:szCs w:val="28"/>
          <w:highlight w:val="none"/>
        </w:rPr>
        <w:t>6、招标文件构成</w:t>
      </w:r>
    </w:p>
    <w:p w14:paraId="5EDA5458">
      <w:pPr>
        <w:spacing w:line="440" w:lineRule="exact"/>
        <w:ind w:firstLine="480"/>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6.1招标文件由以下部分组成：</w:t>
      </w:r>
    </w:p>
    <w:p w14:paraId="5EF4C946">
      <w:pPr>
        <w:spacing w:line="440" w:lineRule="exact"/>
        <w:ind w:firstLine="787" w:firstLineChars="328"/>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（1）投标邀请</w:t>
      </w:r>
    </w:p>
    <w:p w14:paraId="5736C9A9">
      <w:pPr>
        <w:spacing w:line="440" w:lineRule="exact"/>
        <w:ind w:firstLine="787" w:firstLineChars="328"/>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（2）投标人须知</w:t>
      </w:r>
    </w:p>
    <w:p w14:paraId="44D20C44">
      <w:pPr>
        <w:spacing w:line="440" w:lineRule="exact"/>
        <w:ind w:firstLine="787" w:firstLineChars="328"/>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（3）合同文本</w:t>
      </w:r>
    </w:p>
    <w:p w14:paraId="3337F406">
      <w:pPr>
        <w:spacing w:line="440" w:lineRule="exact"/>
        <w:ind w:firstLine="787" w:firstLineChars="328"/>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（4）采购需求</w:t>
      </w:r>
    </w:p>
    <w:p w14:paraId="4A503095">
      <w:pPr>
        <w:spacing w:line="440" w:lineRule="exact"/>
        <w:ind w:firstLine="787" w:firstLineChars="328"/>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（5）评标方法与评标标准</w:t>
      </w:r>
    </w:p>
    <w:p w14:paraId="5DCC6520">
      <w:pPr>
        <w:spacing w:line="440" w:lineRule="exact"/>
        <w:ind w:firstLine="787" w:firstLineChars="328"/>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（6）投标文件格式</w:t>
      </w:r>
    </w:p>
    <w:p w14:paraId="7CB5FAAC">
      <w:pPr>
        <w:spacing w:line="440" w:lineRule="exact"/>
        <w:ind w:firstLine="787" w:firstLineChars="328"/>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请仔细检查招标文件是否齐全，如有缺漏请立即与代理机构联系解决。</w:t>
      </w:r>
    </w:p>
    <w:p w14:paraId="30151911">
      <w:pPr>
        <w:spacing w:line="440" w:lineRule="exact"/>
        <w:ind w:firstLine="480"/>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p>
    <w:p w14:paraId="6D1A7DC4">
      <w:pPr>
        <w:spacing w:line="440" w:lineRule="exact"/>
        <w:ind w:firstLine="480"/>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6.3 招标文件及其更正事项如不是直接从指定媒体地址下载获得的，采购人或代理机构对招标文件及其补遗的真实性、完整性不承担任何责任。</w:t>
      </w:r>
    </w:p>
    <w:p w14:paraId="5071680D">
      <w:pPr>
        <w:keepNext/>
        <w:keepLines/>
        <w:spacing w:line="440" w:lineRule="exact"/>
        <w:ind w:firstLine="138" w:firstLineChars="49"/>
        <w:rPr>
          <w:rFonts w:hint="eastAsia" w:ascii="宋体" w:hAnsi="宋体" w:eastAsia="宋体" w:cs="宋体"/>
          <w:b/>
          <w:color w:val="auto"/>
          <w:kern w:val="0"/>
          <w:sz w:val="28"/>
          <w:szCs w:val="28"/>
          <w:highlight w:val="none"/>
        </w:rPr>
      </w:pPr>
      <w:r>
        <w:rPr>
          <w:rFonts w:hint="eastAsia" w:ascii="宋体" w:hAnsi="宋体" w:eastAsia="宋体" w:cs="宋体"/>
          <w:b/>
          <w:color w:val="auto"/>
          <w:kern w:val="0"/>
          <w:sz w:val="28"/>
          <w:szCs w:val="28"/>
          <w:highlight w:val="none"/>
        </w:rPr>
        <w:t>7、招标文件的澄清、修改</w:t>
      </w:r>
    </w:p>
    <w:p w14:paraId="46F28475">
      <w:pPr>
        <w:spacing w:line="440" w:lineRule="exact"/>
        <w:ind w:firstLine="480"/>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7.1</w:t>
      </w:r>
      <w:bookmarkStart w:id="42" w:name="_Toc20675"/>
      <w:bookmarkStart w:id="43" w:name="_Toc19823"/>
      <w:bookmarkStart w:id="44" w:name="_Toc9687"/>
      <w:bookmarkStart w:id="45" w:name="_Toc25813"/>
      <w:bookmarkStart w:id="46" w:name="_Toc18617"/>
      <w:bookmarkStart w:id="47" w:name="_Toc20364"/>
      <w:r>
        <w:rPr>
          <w:rFonts w:hint="eastAsia" w:ascii="宋体" w:hAnsi="宋体" w:eastAsia="宋体" w:cs="宋体"/>
          <w:color w:val="auto"/>
          <w:kern w:val="0"/>
          <w:sz w:val="24"/>
          <w:szCs w:val="24"/>
          <w:highlight w:val="none"/>
        </w:rPr>
        <w:t>出于实际需要或澄清投标人问题的情况下，代理机构可对已发出的招标文件进行必要的澄清或者修改，并将在指定媒体上发布。各投标人应在投标截止时间前关注苏州市政府采购网“补充通知”栏，按规定获取相关信息内容，否则其投标风险由投标人承担。</w:t>
      </w:r>
    </w:p>
    <w:p w14:paraId="2274A9BB">
      <w:pPr>
        <w:spacing w:line="440" w:lineRule="exact"/>
        <w:ind w:firstLine="480"/>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7.2 代理机构有权按照法定的要求顺延投标截止时间和开标时间。</w:t>
      </w:r>
    </w:p>
    <w:p w14:paraId="437E1452">
      <w:pPr>
        <w:spacing w:line="440" w:lineRule="exact"/>
        <w:ind w:firstLine="480"/>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7.3 有关澄清或者修改的内容将作为招标文件的组成部分，对所有投标人具有约束力。</w:t>
      </w:r>
    </w:p>
    <w:p w14:paraId="783AB864">
      <w:pPr>
        <w:keepNext/>
        <w:keepLines/>
        <w:spacing w:before="152" w:beforeLines="50" w:after="152" w:afterLines="50" w:line="440" w:lineRule="exact"/>
        <w:outlineLvl w:val="1"/>
        <w:rPr>
          <w:rFonts w:hint="eastAsia" w:ascii="宋体" w:hAnsi="宋体" w:eastAsia="宋体" w:cs="宋体"/>
          <w:b/>
          <w:bCs/>
          <w:color w:val="auto"/>
          <w:sz w:val="32"/>
          <w:szCs w:val="32"/>
          <w:highlight w:val="none"/>
        </w:rPr>
      </w:pPr>
      <w:bookmarkStart w:id="48" w:name="_Toc23549"/>
      <w:bookmarkStart w:id="49" w:name="_Toc8359"/>
      <w:bookmarkStart w:id="50" w:name="_Toc19087"/>
      <w:bookmarkStart w:id="51" w:name="_Toc31086"/>
      <w:bookmarkStart w:id="52" w:name="_Toc8969"/>
      <w:r>
        <w:rPr>
          <w:rFonts w:hint="eastAsia" w:ascii="宋体" w:hAnsi="宋体" w:eastAsia="宋体" w:cs="宋体"/>
          <w:b/>
          <w:bCs/>
          <w:color w:val="auto"/>
          <w:sz w:val="32"/>
          <w:szCs w:val="32"/>
          <w:highlight w:val="none"/>
        </w:rPr>
        <w:t>三、投标文件的编制</w:t>
      </w:r>
      <w:bookmarkEnd w:id="42"/>
      <w:bookmarkEnd w:id="43"/>
      <w:bookmarkEnd w:id="44"/>
      <w:bookmarkEnd w:id="45"/>
      <w:bookmarkEnd w:id="46"/>
      <w:bookmarkEnd w:id="47"/>
      <w:bookmarkEnd w:id="48"/>
      <w:bookmarkEnd w:id="49"/>
      <w:bookmarkEnd w:id="50"/>
      <w:bookmarkEnd w:id="51"/>
      <w:bookmarkEnd w:id="52"/>
    </w:p>
    <w:p w14:paraId="1ADB2297">
      <w:pPr>
        <w:keepNext/>
        <w:keepLines/>
        <w:spacing w:line="440" w:lineRule="exact"/>
        <w:ind w:firstLine="138" w:firstLineChars="49"/>
        <w:rPr>
          <w:rFonts w:hint="eastAsia" w:ascii="宋体" w:hAnsi="宋体" w:eastAsia="宋体" w:cs="宋体"/>
          <w:b/>
          <w:color w:val="auto"/>
          <w:kern w:val="0"/>
          <w:sz w:val="28"/>
          <w:szCs w:val="28"/>
          <w:highlight w:val="none"/>
        </w:rPr>
      </w:pPr>
      <w:r>
        <w:rPr>
          <w:rFonts w:hint="eastAsia" w:ascii="宋体" w:hAnsi="宋体" w:eastAsia="宋体" w:cs="宋体"/>
          <w:b/>
          <w:color w:val="auto"/>
          <w:kern w:val="0"/>
          <w:sz w:val="28"/>
          <w:szCs w:val="28"/>
          <w:highlight w:val="none"/>
        </w:rPr>
        <w:t>8、投标文件的语言及度量衡单位</w:t>
      </w:r>
    </w:p>
    <w:p w14:paraId="2DF9B2B9">
      <w:pPr>
        <w:spacing w:line="440" w:lineRule="exact"/>
        <w:ind w:firstLine="480"/>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8.1投标人提交的投标文件以及投标人与代理机构就有关投标的所有来往通知、函件和文件均应使用</w:t>
      </w:r>
      <w:r>
        <w:rPr>
          <w:rFonts w:hint="eastAsia" w:ascii="宋体" w:hAnsi="宋体" w:eastAsia="宋体" w:cs="宋体"/>
          <w:b/>
          <w:bCs/>
          <w:color w:val="auto"/>
          <w:kern w:val="0"/>
          <w:sz w:val="24"/>
          <w:szCs w:val="24"/>
          <w:highlight w:val="none"/>
        </w:rPr>
        <w:t>简体中文</w:t>
      </w:r>
      <w:r>
        <w:rPr>
          <w:rFonts w:hint="eastAsia" w:ascii="宋体" w:hAnsi="宋体" w:eastAsia="宋体" w:cs="宋体"/>
          <w:color w:val="auto"/>
          <w:kern w:val="0"/>
          <w:sz w:val="24"/>
          <w:szCs w:val="24"/>
          <w:highlight w:val="none"/>
        </w:rPr>
        <w:t>。</w:t>
      </w:r>
    </w:p>
    <w:p w14:paraId="07D20299">
      <w:pPr>
        <w:spacing w:line="440" w:lineRule="exact"/>
        <w:ind w:firstLine="480"/>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8.2除技术性能另有规定外，投标文件所使用的度量衡单位，均须采用国家法定计量单位。</w:t>
      </w:r>
    </w:p>
    <w:p w14:paraId="70C18C85">
      <w:pPr>
        <w:keepNext/>
        <w:keepLines/>
        <w:spacing w:line="440" w:lineRule="exact"/>
        <w:ind w:firstLine="138" w:firstLineChars="49"/>
        <w:rPr>
          <w:rFonts w:hint="eastAsia" w:ascii="宋体" w:hAnsi="宋体" w:eastAsia="宋体" w:cs="宋体"/>
          <w:b/>
          <w:color w:val="auto"/>
          <w:kern w:val="0"/>
          <w:sz w:val="28"/>
          <w:szCs w:val="28"/>
          <w:highlight w:val="none"/>
        </w:rPr>
      </w:pPr>
      <w:r>
        <w:rPr>
          <w:rFonts w:hint="eastAsia" w:ascii="宋体" w:hAnsi="宋体" w:eastAsia="宋体" w:cs="宋体"/>
          <w:b/>
          <w:color w:val="auto"/>
          <w:kern w:val="0"/>
          <w:sz w:val="28"/>
          <w:szCs w:val="28"/>
          <w:highlight w:val="none"/>
        </w:rPr>
        <w:t>9、投标文件构成</w:t>
      </w:r>
    </w:p>
    <w:p w14:paraId="339ABE64">
      <w:pPr>
        <w:spacing w:line="440" w:lineRule="exact"/>
        <w:ind w:firstLine="480"/>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9.1投标人编写的投标文件应包括资格证明文件、开标一览表、投标函、技术（或商务）要求响应及偏离表、项目实施方案、其他证明文件等部分。</w:t>
      </w:r>
    </w:p>
    <w:p w14:paraId="0E9F8D5C">
      <w:pPr>
        <w:spacing w:line="440" w:lineRule="exact"/>
        <w:ind w:firstLine="480"/>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9.2 如标书制作工具中格式和内容与指定媒体发布的招标文件不一致，请以指定媒体发布的招标文件为准。</w:t>
      </w:r>
    </w:p>
    <w:p w14:paraId="60ACCCA6">
      <w:pPr>
        <w:keepNext/>
        <w:keepLines/>
        <w:spacing w:line="440" w:lineRule="exact"/>
        <w:ind w:firstLine="138" w:firstLineChars="49"/>
        <w:rPr>
          <w:rFonts w:hint="eastAsia" w:ascii="宋体" w:hAnsi="宋体" w:eastAsia="宋体" w:cs="宋体"/>
          <w:b/>
          <w:color w:val="auto"/>
          <w:kern w:val="0"/>
          <w:sz w:val="28"/>
          <w:szCs w:val="28"/>
          <w:highlight w:val="none"/>
        </w:rPr>
      </w:pPr>
      <w:r>
        <w:rPr>
          <w:rFonts w:hint="eastAsia" w:ascii="宋体" w:hAnsi="宋体" w:eastAsia="宋体" w:cs="宋体"/>
          <w:b/>
          <w:color w:val="auto"/>
          <w:kern w:val="0"/>
          <w:sz w:val="28"/>
          <w:szCs w:val="28"/>
          <w:highlight w:val="none"/>
        </w:rPr>
        <w:t>10、证明投标人及投标标的符合招标文件规定的文件</w:t>
      </w:r>
    </w:p>
    <w:p w14:paraId="5B0C39A0">
      <w:pPr>
        <w:spacing w:line="440" w:lineRule="exact"/>
        <w:ind w:firstLine="480"/>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10.1 投标人应按照招标文件要求提交证明文件，证明其及投标标的符合招标文件规定。</w:t>
      </w:r>
    </w:p>
    <w:p w14:paraId="336550C5">
      <w:pPr>
        <w:spacing w:line="440" w:lineRule="exact"/>
        <w:ind w:firstLine="480"/>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10.2招标文件对证明文件无明确形式要求的，证明文件可以以文字资料、图纸和数据等形式提交。</w:t>
      </w:r>
    </w:p>
    <w:p w14:paraId="768D813F">
      <w:pPr>
        <w:keepNext/>
        <w:keepLines/>
        <w:spacing w:line="440" w:lineRule="exact"/>
        <w:ind w:firstLine="138" w:firstLineChars="49"/>
        <w:rPr>
          <w:rFonts w:hint="eastAsia" w:ascii="宋体" w:hAnsi="宋体" w:eastAsia="宋体" w:cs="宋体"/>
          <w:b/>
          <w:color w:val="auto"/>
          <w:kern w:val="0"/>
          <w:sz w:val="28"/>
          <w:szCs w:val="28"/>
          <w:highlight w:val="none"/>
        </w:rPr>
      </w:pPr>
      <w:r>
        <w:rPr>
          <w:rFonts w:hint="eastAsia" w:ascii="宋体" w:hAnsi="宋体" w:eastAsia="宋体" w:cs="宋体"/>
          <w:b/>
          <w:color w:val="auto"/>
          <w:kern w:val="0"/>
          <w:sz w:val="28"/>
          <w:szCs w:val="28"/>
          <w:highlight w:val="none"/>
        </w:rPr>
        <w:t>11、投标函和开标一览表</w:t>
      </w:r>
    </w:p>
    <w:p w14:paraId="74441028">
      <w:pPr>
        <w:spacing w:line="440" w:lineRule="exact"/>
        <w:ind w:firstLine="480"/>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11.1投标人应按照招标文件中提供的格式完整、正确填写投标函、开标一览表。</w:t>
      </w:r>
    </w:p>
    <w:p w14:paraId="46334BA9">
      <w:pPr>
        <w:spacing w:line="440" w:lineRule="exact"/>
        <w:ind w:firstLine="480"/>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11.2 对于采用货币报价的项目，开标一览表中的投标总报价应与报价明细表中的投标总报价一致，如不一致不作为无效投标处理，但评标时按开标一览表中价格为准。</w:t>
      </w:r>
    </w:p>
    <w:p w14:paraId="658006FB">
      <w:pPr>
        <w:keepNext/>
        <w:keepLines/>
        <w:spacing w:line="440" w:lineRule="exact"/>
        <w:ind w:firstLine="138" w:firstLineChars="49"/>
        <w:rPr>
          <w:rFonts w:hint="eastAsia" w:ascii="宋体" w:hAnsi="宋体" w:eastAsia="宋体" w:cs="宋体"/>
          <w:b/>
          <w:color w:val="auto"/>
          <w:kern w:val="0"/>
          <w:sz w:val="28"/>
          <w:szCs w:val="28"/>
          <w:highlight w:val="none"/>
          <w:lang w:eastAsia="zh-CN"/>
        </w:rPr>
      </w:pPr>
      <w:r>
        <w:rPr>
          <w:rFonts w:hint="eastAsia" w:ascii="宋体" w:hAnsi="宋体" w:eastAsia="宋体" w:cs="宋体"/>
          <w:b/>
          <w:color w:val="auto"/>
          <w:kern w:val="0"/>
          <w:sz w:val="28"/>
          <w:szCs w:val="28"/>
          <w:highlight w:val="none"/>
        </w:rPr>
        <w:t>12、报价明细表</w:t>
      </w:r>
      <w:r>
        <w:rPr>
          <w:rFonts w:hint="eastAsia" w:ascii="宋体" w:hAnsi="宋体" w:eastAsia="宋体" w:cs="宋体"/>
          <w:b/>
          <w:color w:val="auto"/>
          <w:kern w:val="0"/>
          <w:sz w:val="28"/>
          <w:szCs w:val="28"/>
          <w:highlight w:val="none"/>
          <w:lang w:eastAsia="zh-CN"/>
        </w:rPr>
        <w:t>（</w:t>
      </w:r>
      <w:r>
        <w:rPr>
          <w:rFonts w:hint="eastAsia" w:ascii="宋体" w:hAnsi="宋体" w:eastAsia="宋体" w:cs="宋体"/>
          <w:b/>
          <w:color w:val="auto"/>
          <w:kern w:val="0"/>
          <w:sz w:val="28"/>
          <w:szCs w:val="28"/>
          <w:highlight w:val="none"/>
          <w:lang w:val="en-US" w:eastAsia="zh-CN"/>
        </w:rPr>
        <w:t>如有</w:t>
      </w:r>
      <w:r>
        <w:rPr>
          <w:rFonts w:hint="eastAsia" w:ascii="宋体" w:hAnsi="宋体" w:eastAsia="宋体" w:cs="宋体"/>
          <w:b/>
          <w:color w:val="auto"/>
          <w:kern w:val="0"/>
          <w:sz w:val="28"/>
          <w:szCs w:val="28"/>
          <w:highlight w:val="none"/>
          <w:lang w:eastAsia="zh-CN"/>
        </w:rPr>
        <w:t>）</w:t>
      </w:r>
    </w:p>
    <w:p w14:paraId="4453B11B">
      <w:pPr>
        <w:spacing w:line="500" w:lineRule="exact"/>
        <w:ind w:firstLine="480"/>
        <w:rPr>
          <w:rFonts w:hint="eastAsia" w:ascii="宋体" w:hAnsi="宋体" w:eastAsia="宋体" w:cs="宋体"/>
          <w:bCs/>
          <w:color w:val="auto"/>
          <w:sz w:val="24"/>
          <w:szCs w:val="21"/>
          <w:highlight w:val="none"/>
        </w:rPr>
      </w:pPr>
      <w:r>
        <w:rPr>
          <w:rFonts w:hint="eastAsia" w:ascii="宋体" w:hAnsi="宋体" w:eastAsia="宋体" w:cs="宋体"/>
          <w:color w:val="auto"/>
          <w:kern w:val="0"/>
          <w:sz w:val="24"/>
          <w:szCs w:val="24"/>
          <w:highlight w:val="none"/>
        </w:rPr>
        <w:t>12.1</w:t>
      </w:r>
      <w:r>
        <w:rPr>
          <w:rFonts w:hint="eastAsia" w:ascii="宋体" w:hAnsi="宋体" w:eastAsia="宋体" w:cs="宋体"/>
          <w:color w:val="auto"/>
          <w:sz w:val="24"/>
          <w:szCs w:val="21"/>
          <w:highlight w:val="none"/>
        </w:rPr>
        <w:t>投标人应按照招标文件规定格式填报报价明细表。</w:t>
      </w:r>
    </w:p>
    <w:p w14:paraId="549A9F8F">
      <w:pPr>
        <w:spacing w:line="500" w:lineRule="exact"/>
        <w:ind w:firstLine="480"/>
        <w:rPr>
          <w:rFonts w:hint="eastAsia" w:ascii="宋体" w:hAnsi="宋体" w:eastAsia="宋体" w:cs="宋体"/>
          <w:color w:val="auto"/>
          <w:kern w:val="0"/>
          <w:sz w:val="24"/>
          <w:szCs w:val="24"/>
          <w:highlight w:val="none"/>
        </w:rPr>
      </w:pPr>
      <w:r>
        <w:rPr>
          <w:rFonts w:hint="eastAsia" w:ascii="宋体" w:hAnsi="宋体" w:eastAsia="宋体" w:cs="宋体"/>
          <w:color w:val="auto"/>
          <w:sz w:val="24"/>
          <w:szCs w:val="24"/>
          <w:highlight w:val="none"/>
        </w:rPr>
        <w:t>12.2</w:t>
      </w:r>
      <w:r>
        <w:rPr>
          <w:rFonts w:hint="eastAsia" w:ascii="宋体" w:hAnsi="宋体" w:eastAsia="宋体" w:cs="宋体"/>
          <w:color w:val="auto"/>
          <w:sz w:val="24"/>
          <w:szCs w:val="21"/>
          <w:highlight w:val="none"/>
        </w:rPr>
        <w:t xml:space="preserve"> </w:t>
      </w:r>
      <w:r>
        <w:rPr>
          <w:rFonts w:hint="eastAsia" w:ascii="宋体" w:hAnsi="宋体" w:eastAsia="宋体" w:cs="宋体"/>
          <w:bCs/>
          <w:color w:val="auto"/>
          <w:sz w:val="24"/>
          <w:szCs w:val="21"/>
          <w:highlight w:val="none"/>
        </w:rPr>
        <w:t>投标货币。投标文件中的单价和总价无特殊规定的采用人民币报价，以元为单位标注。</w:t>
      </w:r>
      <w:r>
        <w:rPr>
          <w:rFonts w:hint="eastAsia" w:ascii="宋体" w:hAnsi="宋体" w:eastAsia="宋体" w:cs="宋体"/>
          <w:color w:val="auto"/>
          <w:sz w:val="24"/>
          <w:szCs w:val="21"/>
          <w:highlight w:val="none"/>
        </w:rPr>
        <w:t>招标文件中另有规定的按规定执行。</w:t>
      </w:r>
    </w:p>
    <w:p w14:paraId="78195EB4">
      <w:pPr>
        <w:keepNext/>
        <w:keepLines/>
        <w:spacing w:line="440" w:lineRule="exact"/>
        <w:ind w:firstLine="138" w:firstLineChars="49"/>
        <w:rPr>
          <w:rFonts w:hint="eastAsia" w:ascii="宋体" w:hAnsi="宋体" w:eastAsia="宋体" w:cs="宋体"/>
          <w:b/>
          <w:color w:val="auto"/>
          <w:kern w:val="0"/>
          <w:sz w:val="28"/>
          <w:szCs w:val="28"/>
          <w:highlight w:val="none"/>
        </w:rPr>
      </w:pPr>
      <w:r>
        <w:rPr>
          <w:rFonts w:hint="eastAsia" w:ascii="宋体" w:hAnsi="宋体" w:eastAsia="宋体" w:cs="宋体"/>
          <w:b/>
          <w:color w:val="auto"/>
          <w:kern w:val="0"/>
          <w:sz w:val="28"/>
          <w:szCs w:val="28"/>
          <w:highlight w:val="none"/>
        </w:rPr>
        <w:t>13、服务、商务要求响应及偏离表</w:t>
      </w:r>
    </w:p>
    <w:p w14:paraId="2F629EAD">
      <w:pPr>
        <w:spacing w:line="500" w:lineRule="exact"/>
        <w:ind w:firstLine="480"/>
        <w:rPr>
          <w:rFonts w:hint="eastAsia" w:ascii="宋体" w:hAnsi="宋体" w:eastAsia="宋体" w:cs="宋体"/>
          <w:color w:val="auto"/>
          <w:sz w:val="24"/>
          <w:szCs w:val="21"/>
          <w:highlight w:val="none"/>
          <w:lang w:val="zh-CN"/>
        </w:rPr>
      </w:pPr>
      <w:r>
        <w:rPr>
          <w:rFonts w:hint="eastAsia" w:ascii="宋体" w:hAnsi="宋体" w:eastAsia="宋体" w:cs="宋体"/>
          <w:color w:val="auto"/>
          <w:kern w:val="0"/>
          <w:sz w:val="24"/>
          <w:szCs w:val="24"/>
          <w:highlight w:val="none"/>
        </w:rPr>
        <w:t>13.1</w:t>
      </w:r>
      <w:r>
        <w:rPr>
          <w:rFonts w:hint="eastAsia" w:ascii="宋体" w:hAnsi="宋体" w:eastAsia="宋体" w:cs="宋体"/>
          <w:color w:val="auto"/>
          <w:sz w:val="24"/>
          <w:szCs w:val="21"/>
          <w:highlight w:val="none"/>
          <w:lang w:val="zh-CN"/>
        </w:rPr>
        <w:t>投标人需对招标文件中的服务要求与商务要求逐项作出响应或偏离，并说明原因。</w:t>
      </w:r>
    </w:p>
    <w:p w14:paraId="3506E095">
      <w:pPr>
        <w:spacing w:line="500" w:lineRule="exact"/>
        <w:ind w:firstLine="480"/>
        <w:rPr>
          <w:rFonts w:hint="eastAsia" w:ascii="宋体" w:hAnsi="宋体" w:eastAsia="宋体" w:cs="宋体"/>
          <w:color w:val="auto"/>
          <w:sz w:val="24"/>
          <w:highlight w:val="none"/>
          <w:lang w:val="zh-CN"/>
        </w:rPr>
      </w:pPr>
      <w:r>
        <w:rPr>
          <w:rFonts w:hint="eastAsia" w:ascii="宋体" w:hAnsi="宋体" w:eastAsia="宋体" w:cs="宋体"/>
          <w:color w:val="auto"/>
          <w:sz w:val="24"/>
          <w:szCs w:val="24"/>
          <w:highlight w:val="none"/>
        </w:rPr>
        <w:t>13.2</w:t>
      </w:r>
      <w:r>
        <w:rPr>
          <w:rFonts w:hint="eastAsia" w:ascii="宋体" w:hAnsi="宋体" w:eastAsia="宋体" w:cs="宋体"/>
          <w:color w:val="auto"/>
          <w:sz w:val="24"/>
          <w:szCs w:val="21"/>
          <w:highlight w:val="none"/>
          <w:lang w:val="zh-CN"/>
        </w:rPr>
        <w:t xml:space="preserve"> </w:t>
      </w:r>
      <w:r>
        <w:rPr>
          <w:rFonts w:hint="eastAsia" w:ascii="宋体" w:hAnsi="宋体" w:eastAsia="宋体" w:cs="宋体"/>
          <w:color w:val="auto"/>
          <w:sz w:val="24"/>
          <w:highlight w:val="none"/>
          <w:lang w:val="zh-CN"/>
        </w:rPr>
        <w:t>投标人需按照招标文件要求，在投标文件中提供与服务要求和商务要求相关的证明材料。（如有）</w:t>
      </w:r>
    </w:p>
    <w:p w14:paraId="625B4C2B">
      <w:pPr>
        <w:keepNext/>
        <w:keepLines/>
        <w:spacing w:line="440" w:lineRule="exact"/>
        <w:ind w:firstLine="141" w:firstLineChars="50"/>
        <w:rPr>
          <w:rFonts w:hint="eastAsia" w:ascii="宋体" w:hAnsi="宋体" w:eastAsia="宋体" w:cs="宋体"/>
          <w:b/>
          <w:color w:val="auto"/>
          <w:kern w:val="0"/>
          <w:sz w:val="28"/>
          <w:szCs w:val="28"/>
          <w:highlight w:val="none"/>
        </w:rPr>
      </w:pPr>
      <w:r>
        <w:rPr>
          <w:rFonts w:hint="eastAsia" w:ascii="宋体" w:hAnsi="宋体" w:eastAsia="宋体" w:cs="宋体"/>
          <w:b/>
          <w:color w:val="auto"/>
          <w:kern w:val="0"/>
          <w:sz w:val="28"/>
          <w:szCs w:val="28"/>
          <w:highlight w:val="none"/>
        </w:rPr>
        <w:t>14、项目</w:t>
      </w:r>
      <w:r>
        <w:rPr>
          <w:rFonts w:hint="eastAsia" w:ascii="宋体" w:hAnsi="宋体" w:eastAsia="宋体" w:cs="宋体"/>
          <w:b/>
          <w:color w:val="auto"/>
          <w:kern w:val="0"/>
          <w:sz w:val="28"/>
          <w:szCs w:val="28"/>
          <w:highlight w:val="none"/>
          <w:lang w:val="en-US" w:eastAsia="zh-CN"/>
        </w:rPr>
        <w:t>实施</w:t>
      </w:r>
      <w:r>
        <w:rPr>
          <w:rFonts w:hint="eastAsia" w:ascii="宋体" w:hAnsi="宋体" w:eastAsia="宋体" w:cs="宋体"/>
          <w:b/>
          <w:color w:val="auto"/>
          <w:kern w:val="0"/>
          <w:sz w:val="28"/>
          <w:szCs w:val="28"/>
          <w:highlight w:val="none"/>
        </w:rPr>
        <w:t>方案、项目组人员一览表、业绩情况</w:t>
      </w:r>
    </w:p>
    <w:p w14:paraId="714D651D">
      <w:pPr>
        <w:spacing w:line="50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14.1</w:t>
      </w:r>
      <w:bookmarkStart w:id="53" w:name="_Toc49090510"/>
      <w:bookmarkStart w:id="54" w:name="_Toc14577359"/>
      <w:r>
        <w:rPr>
          <w:rFonts w:hint="eastAsia" w:ascii="宋体" w:hAnsi="宋体" w:eastAsia="宋体" w:cs="宋体"/>
          <w:color w:val="auto"/>
          <w:sz w:val="24"/>
          <w:szCs w:val="24"/>
          <w:highlight w:val="none"/>
        </w:rPr>
        <w:t>投标人需根据招标文件要求提供有关项目</w:t>
      </w:r>
      <w:r>
        <w:rPr>
          <w:rFonts w:hint="eastAsia" w:ascii="宋体" w:hAnsi="宋体" w:eastAsia="宋体" w:cs="宋体"/>
          <w:color w:val="auto"/>
          <w:sz w:val="24"/>
          <w:szCs w:val="24"/>
          <w:highlight w:val="none"/>
          <w:lang w:val="en-US" w:eastAsia="zh-CN"/>
        </w:rPr>
        <w:t>实施</w:t>
      </w:r>
      <w:r>
        <w:rPr>
          <w:rFonts w:hint="eastAsia" w:ascii="宋体" w:hAnsi="宋体" w:eastAsia="宋体" w:cs="宋体"/>
          <w:color w:val="auto"/>
          <w:sz w:val="24"/>
          <w:szCs w:val="24"/>
          <w:highlight w:val="none"/>
        </w:rPr>
        <w:t>方案、项目组人员一览表等。</w:t>
      </w:r>
    </w:p>
    <w:p w14:paraId="5272E1B5">
      <w:pPr>
        <w:spacing w:line="50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14.2 投标人需根据招标文件要求提供实施的类似项目业绩情况。</w:t>
      </w:r>
    </w:p>
    <w:bookmarkEnd w:id="53"/>
    <w:bookmarkEnd w:id="54"/>
    <w:p w14:paraId="5E49717E">
      <w:pPr>
        <w:keepNext/>
        <w:keepLines/>
        <w:spacing w:line="440" w:lineRule="exact"/>
        <w:ind w:firstLine="138" w:firstLineChars="49"/>
        <w:rPr>
          <w:rFonts w:hint="eastAsia" w:ascii="宋体" w:hAnsi="宋体" w:eastAsia="宋体" w:cs="宋体"/>
          <w:b/>
          <w:color w:val="auto"/>
          <w:kern w:val="0"/>
          <w:sz w:val="28"/>
          <w:szCs w:val="28"/>
          <w:highlight w:val="none"/>
        </w:rPr>
      </w:pPr>
      <w:r>
        <w:rPr>
          <w:rFonts w:hint="eastAsia" w:ascii="宋体" w:hAnsi="宋体" w:eastAsia="宋体" w:cs="宋体"/>
          <w:b/>
          <w:color w:val="auto"/>
          <w:kern w:val="0"/>
          <w:sz w:val="28"/>
          <w:szCs w:val="28"/>
          <w:highlight w:val="none"/>
        </w:rPr>
        <w:t>15、投标有效期</w:t>
      </w:r>
    </w:p>
    <w:p w14:paraId="66B917CC">
      <w:pPr>
        <w:spacing w:line="440" w:lineRule="exact"/>
        <w:ind w:firstLine="480"/>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15.1投标有效期为代理机构规定的提交投标文件截止之日后</w:t>
      </w:r>
      <w:r>
        <w:rPr>
          <w:rFonts w:hint="eastAsia" w:ascii="宋体" w:hAnsi="宋体" w:eastAsia="宋体" w:cs="宋体"/>
          <w:b/>
          <w:bCs/>
          <w:color w:val="auto"/>
          <w:kern w:val="0"/>
          <w:sz w:val="24"/>
          <w:szCs w:val="24"/>
          <w:highlight w:val="none"/>
          <w:u w:val="single"/>
        </w:rPr>
        <w:t>六十（60）天</w:t>
      </w:r>
      <w:r>
        <w:rPr>
          <w:rFonts w:hint="eastAsia" w:ascii="宋体" w:hAnsi="宋体" w:eastAsia="宋体" w:cs="宋体"/>
          <w:color w:val="auto"/>
          <w:kern w:val="0"/>
          <w:sz w:val="24"/>
          <w:szCs w:val="24"/>
          <w:highlight w:val="none"/>
        </w:rPr>
        <w:t>。投标有效期比规定短的将被视为非实质性响应招标文件而予以拒绝。</w:t>
      </w:r>
    </w:p>
    <w:p w14:paraId="3A5E7D6C">
      <w:pPr>
        <w:keepNext/>
        <w:keepLines/>
        <w:spacing w:line="440" w:lineRule="exact"/>
        <w:ind w:firstLine="138" w:firstLineChars="49"/>
        <w:rPr>
          <w:rFonts w:hint="eastAsia" w:ascii="宋体" w:hAnsi="宋体" w:eastAsia="宋体" w:cs="宋体"/>
          <w:b/>
          <w:color w:val="auto"/>
          <w:kern w:val="0"/>
          <w:sz w:val="28"/>
          <w:szCs w:val="28"/>
          <w:highlight w:val="none"/>
        </w:rPr>
      </w:pPr>
      <w:r>
        <w:rPr>
          <w:rFonts w:hint="eastAsia" w:ascii="宋体" w:hAnsi="宋体" w:eastAsia="宋体" w:cs="宋体"/>
          <w:b/>
          <w:color w:val="auto"/>
          <w:kern w:val="0"/>
          <w:sz w:val="28"/>
          <w:szCs w:val="28"/>
          <w:highlight w:val="none"/>
        </w:rPr>
        <w:t>16、投标有效期的延长</w:t>
      </w:r>
    </w:p>
    <w:p w14:paraId="6256170D">
      <w:pPr>
        <w:spacing w:line="440" w:lineRule="exact"/>
        <w:ind w:firstLine="480"/>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16.1在特殊情况下，代理机构于原投标有效期满之前，可向投标人提出延长投标有效期的要求。这种要求与答复均应采用书面形式。投标人可以拒绝代理机构的这一要求而放弃投标，同意延长投标有效期的投标人既不能要求也不允许修改其投标文件。受投标有效期约束的所有权利与义务均延长至新的有效期。</w:t>
      </w:r>
    </w:p>
    <w:p w14:paraId="3D7FCABD">
      <w:pPr>
        <w:keepNext/>
        <w:keepLines/>
        <w:spacing w:before="152" w:beforeLines="50" w:after="152" w:afterLines="50" w:line="440" w:lineRule="exact"/>
        <w:outlineLvl w:val="1"/>
        <w:rPr>
          <w:rFonts w:hint="eastAsia" w:ascii="宋体" w:hAnsi="宋体" w:eastAsia="宋体" w:cs="宋体"/>
          <w:b/>
          <w:bCs/>
          <w:color w:val="auto"/>
          <w:sz w:val="32"/>
          <w:szCs w:val="32"/>
          <w:highlight w:val="none"/>
        </w:rPr>
      </w:pPr>
      <w:bookmarkStart w:id="55" w:name="_Toc14870"/>
      <w:bookmarkStart w:id="56" w:name="_Toc22231"/>
      <w:bookmarkStart w:id="57" w:name="_Toc24414"/>
      <w:bookmarkStart w:id="58" w:name="_Toc16363"/>
      <w:bookmarkStart w:id="59" w:name="_Toc30450"/>
      <w:bookmarkStart w:id="60" w:name="_Toc5321"/>
      <w:bookmarkStart w:id="61" w:name="_Toc959"/>
      <w:bookmarkStart w:id="62" w:name="_Toc25796"/>
      <w:bookmarkStart w:id="63" w:name="_Toc13568"/>
      <w:bookmarkStart w:id="64" w:name="_Toc1373"/>
      <w:bookmarkStart w:id="65" w:name="_Toc8187"/>
      <w:r>
        <w:rPr>
          <w:rFonts w:hint="eastAsia" w:ascii="宋体" w:hAnsi="宋体" w:eastAsia="宋体" w:cs="宋体"/>
          <w:b/>
          <w:bCs/>
          <w:color w:val="auto"/>
          <w:sz w:val="32"/>
          <w:szCs w:val="32"/>
          <w:highlight w:val="none"/>
        </w:rPr>
        <w:t>四、投标文件的递交</w:t>
      </w:r>
      <w:bookmarkEnd w:id="55"/>
      <w:bookmarkEnd w:id="56"/>
      <w:bookmarkEnd w:id="57"/>
      <w:bookmarkEnd w:id="58"/>
      <w:bookmarkEnd w:id="59"/>
      <w:bookmarkEnd w:id="60"/>
      <w:bookmarkEnd w:id="61"/>
      <w:bookmarkEnd w:id="62"/>
      <w:bookmarkEnd w:id="63"/>
      <w:bookmarkEnd w:id="64"/>
      <w:bookmarkEnd w:id="65"/>
    </w:p>
    <w:p w14:paraId="2F0122F3">
      <w:pPr>
        <w:keepNext/>
        <w:keepLines/>
        <w:spacing w:line="440" w:lineRule="exact"/>
        <w:ind w:firstLine="138" w:firstLineChars="49"/>
        <w:rPr>
          <w:rFonts w:hint="eastAsia" w:ascii="宋体" w:hAnsi="宋体" w:eastAsia="宋体" w:cs="宋体"/>
          <w:b/>
          <w:color w:val="auto"/>
          <w:kern w:val="0"/>
          <w:sz w:val="28"/>
          <w:szCs w:val="28"/>
          <w:highlight w:val="none"/>
        </w:rPr>
      </w:pPr>
      <w:r>
        <w:rPr>
          <w:rFonts w:hint="eastAsia" w:ascii="宋体" w:hAnsi="宋体" w:eastAsia="宋体" w:cs="宋体"/>
          <w:b/>
          <w:color w:val="auto"/>
          <w:kern w:val="0"/>
          <w:sz w:val="28"/>
          <w:szCs w:val="28"/>
          <w:highlight w:val="none"/>
        </w:rPr>
        <w:t>17、电子投标文件的递交</w:t>
      </w:r>
    </w:p>
    <w:p w14:paraId="4DE5D4FE">
      <w:pPr>
        <w:spacing w:line="440" w:lineRule="exact"/>
        <w:ind w:firstLine="480"/>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17.1投标人应当按照《苏采云系统投标人操作手册》规定，在提交投标文件截止时间前制作并上传电子投标文件。</w:t>
      </w:r>
    </w:p>
    <w:p w14:paraId="5458D025">
      <w:pPr>
        <w:spacing w:line="440" w:lineRule="exact"/>
        <w:ind w:firstLine="480"/>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17.2如投标人投报多个分包的，应分别制作所投每个分包的投标文件，再根据此文档分别制作所投每个分包的电子投标文件。按规定将所投每个分包的的电子投标文件分别上传到对应分包页面中。如未上传的视同为未参加本项目对应分包的投标。</w:t>
      </w:r>
    </w:p>
    <w:p w14:paraId="28A12763">
      <w:pPr>
        <w:keepNext/>
        <w:keepLines/>
        <w:spacing w:line="440" w:lineRule="exact"/>
        <w:ind w:firstLine="138" w:firstLineChars="49"/>
        <w:rPr>
          <w:rFonts w:hint="eastAsia" w:ascii="宋体" w:hAnsi="宋体" w:eastAsia="宋体" w:cs="宋体"/>
          <w:b/>
          <w:color w:val="auto"/>
          <w:kern w:val="0"/>
          <w:sz w:val="28"/>
          <w:szCs w:val="28"/>
          <w:highlight w:val="none"/>
        </w:rPr>
      </w:pPr>
      <w:r>
        <w:rPr>
          <w:rFonts w:hint="eastAsia" w:ascii="宋体" w:hAnsi="宋体" w:eastAsia="宋体" w:cs="宋体"/>
          <w:b/>
          <w:color w:val="auto"/>
          <w:kern w:val="0"/>
          <w:sz w:val="28"/>
          <w:szCs w:val="28"/>
          <w:highlight w:val="none"/>
        </w:rPr>
        <w:t>18、提交投标文件截止时间</w:t>
      </w:r>
    </w:p>
    <w:p w14:paraId="48A00615">
      <w:pPr>
        <w:spacing w:line="440" w:lineRule="exact"/>
        <w:ind w:firstLine="480"/>
        <w:rPr>
          <w:rFonts w:hint="eastAsia" w:ascii="宋体" w:hAnsi="宋体" w:eastAsia="宋体" w:cs="宋体"/>
          <w:b/>
          <w:bCs/>
          <w:color w:val="auto"/>
          <w:kern w:val="0"/>
          <w:sz w:val="24"/>
          <w:szCs w:val="24"/>
          <w:highlight w:val="none"/>
        </w:rPr>
      </w:pPr>
      <w:r>
        <w:rPr>
          <w:rFonts w:hint="eastAsia" w:ascii="宋体" w:hAnsi="宋体" w:eastAsia="宋体" w:cs="宋体"/>
          <w:b/>
          <w:bCs/>
          <w:color w:val="auto"/>
          <w:kern w:val="0"/>
          <w:sz w:val="24"/>
          <w:szCs w:val="24"/>
          <w:highlight w:val="none"/>
        </w:rPr>
        <w:t>18.1投标人上传电子投标文件的时间不得迟于招标公告中规定的提交投标文件截止时间。</w:t>
      </w:r>
    </w:p>
    <w:p w14:paraId="0BF223BD">
      <w:pPr>
        <w:spacing w:line="440" w:lineRule="exact"/>
        <w:ind w:firstLine="480"/>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投标人应充分考虑到网络环境、网络带宽等风险因素，如因投标人自身原因造成的电子投标文件上传不成功的作无效响应处理。</w:t>
      </w:r>
    </w:p>
    <w:p w14:paraId="568681EE">
      <w:pPr>
        <w:spacing w:line="440" w:lineRule="exact"/>
        <w:ind w:firstLine="480"/>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18.2代理机构可以按照规定，通过修改招标文件酌情延长提交投标文件截止日期，在此情况下，投标人的所有权利和义务以及投标人受制的截止日期均应以延长后新的截止日期为准。</w:t>
      </w:r>
    </w:p>
    <w:p w14:paraId="51A579B2">
      <w:pPr>
        <w:keepNext/>
        <w:keepLines/>
        <w:spacing w:line="440" w:lineRule="exact"/>
        <w:ind w:firstLine="138" w:firstLineChars="49"/>
        <w:rPr>
          <w:rFonts w:hint="eastAsia" w:ascii="宋体" w:hAnsi="宋体" w:eastAsia="宋体" w:cs="宋体"/>
          <w:b/>
          <w:color w:val="auto"/>
          <w:kern w:val="0"/>
          <w:sz w:val="28"/>
          <w:szCs w:val="28"/>
          <w:highlight w:val="none"/>
        </w:rPr>
      </w:pPr>
      <w:r>
        <w:rPr>
          <w:rFonts w:hint="eastAsia" w:ascii="宋体" w:hAnsi="宋体" w:eastAsia="宋体" w:cs="宋体"/>
          <w:b/>
          <w:color w:val="auto"/>
          <w:kern w:val="0"/>
          <w:sz w:val="28"/>
          <w:szCs w:val="28"/>
          <w:highlight w:val="none"/>
        </w:rPr>
        <w:t>19、投标文件的拒收</w:t>
      </w:r>
    </w:p>
    <w:p w14:paraId="1E15C092">
      <w:pPr>
        <w:spacing w:line="440" w:lineRule="exact"/>
        <w:ind w:firstLine="480"/>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19.1代理机构拒绝接收在其规定的提交投标文件截止时间后上传的任何电子投标文件。</w:t>
      </w:r>
    </w:p>
    <w:p w14:paraId="00923F14">
      <w:pPr>
        <w:keepNext/>
        <w:keepLines/>
        <w:spacing w:line="440" w:lineRule="exact"/>
        <w:ind w:firstLine="138" w:firstLineChars="49"/>
        <w:rPr>
          <w:rFonts w:hint="eastAsia" w:ascii="宋体" w:hAnsi="宋体" w:eastAsia="宋体" w:cs="宋体"/>
          <w:b/>
          <w:color w:val="auto"/>
          <w:kern w:val="0"/>
          <w:sz w:val="28"/>
          <w:szCs w:val="28"/>
          <w:highlight w:val="none"/>
        </w:rPr>
      </w:pPr>
      <w:r>
        <w:rPr>
          <w:rFonts w:hint="eastAsia" w:ascii="宋体" w:hAnsi="宋体" w:eastAsia="宋体" w:cs="宋体"/>
          <w:b/>
          <w:color w:val="auto"/>
          <w:kern w:val="0"/>
          <w:sz w:val="28"/>
          <w:szCs w:val="28"/>
          <w:highlight w:val="none"/>
        </w:rPr>
        <w:t>20、投标文件的撤回和修改</w:t>
      </w:r>
    </w:p>
    <w:p w14:paraId="7434718B">
      <w:pPr>
        <w:spacing w:line="440" w:lineRule="exact"/>
        <w:ind w:firstLine="480"/>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20.1投标文件的撤回</w:t>
      </w:r>
    </w:p>
    <w:p w14:paraId="7C396A27">
      <w:pPr>
        <w:spacing w:line="440" w:lineRule="exact"/>
        <w:ind w:firstLine="787" w:firstLineChars="328"/>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21.1.1电子投标文件的撤回</w:t>
      </w:r>
    </w:p>
    <w:p w14:paraId="2125D6AE">
      <w:pPr>
        <w:spacing w:line="440" w:lineRule="exact"/>
        <w:ind w:firstLine="787" w:firstLineChars="328"/>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投标人可在提交投标文件截止时间前，撤回其电子投标文件，具体操作方法见《</w:t>
      </w:r>
      <w:r>
        <w:rPr>
          <w:rFonts w:hint="eastAsia" w:ascii="宋体" w:hAnsi="宋体" w:eastAsia="宋体" w:cs="宋体"/>
          <w:color w:val="auto"/>
          <w:sz w:val="24"/>
          <w:szCs w:val="24"/>
          <w:highlight w:val="none"/>
        </w:rPr>
        <w:t>苏采云系统投标人操作手册</w:t>
      </w:r>
      <w:r>
        <w:rPr>
          <w:rFonts w:hint="eastAsia" w:ascii="宋体" w:hAnsi="宋体" w:eastAsia="宋体" w:cs="宋体"/>
          <w:color w:val="auto"/>
          <w:kern w:val="0"/>
          <w:sz w:val="24"/>
          <w:szCs w:val="24"/>
          <w:highlight w:val="none"/>
        </w:rPr>
        <w:t>》。</w:t>
      </w:r>
    </w:p>
    <w:p w14:paraId="14444879">
      <w:pPr>
        <w:spacing w:line="440" w:lineRule="exact"/>
        <w:ind w:firstLine="787" w:firstLineChars="328"/>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21.1.2投标人撤回电子投标文件，则认为其不再参与本项目投标活动。</w:t>
      </w:r>
    </w:p>
    <w:p w14:paraId="22FBAE95">
      <w:pPr>
        <w:spacing w:line="440" w:lineRule="exact"/>
        <w:ind w:firstLine="480"/>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20.2投标文件的修改</w:t>
      </w:r>
    </w:p>
    <w:p w14:paraId="4D169BC2">
      <w:pPr>
        <w:spacing w:line="440" w:lineRule="exact"/>
        <w:ind w:firstLine="787" w:firstLineChars="328"/>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投标人可在提交投标文件截止时间前，对其电子投标文件进行修改，具体操作方法见《</w:t>
      </w:r>
      <w:r>
        <w:rPr>
          <w:rFonts w:hint="eastAsia" w:ascii="宋体" w:hAnsi="宋体" w:eastAsia="宋体" w:cs="宋体"/>
          <w:color w:val="auto"/>
          <w:sz w:val="24"/>
          <w:szCs w:val="24"/>
          <w:highlight w:val="none"/>
        </w:rPr>
        <w:t>苏采云系统投标人操作手册</w:t>
      </w:r>
      <w:r>
        <w:rPr>
          <w:rFonts w:hint="eastAsia" w:ascii="宋体" w:hAnsi="宋体" w:eastAsia="宋体" w:cs="宋体"/>
          <w:color w:val="auto"/>
          <w:kern w:val="0"/>
          <w:sz w:val="24"/>
          <w:szCs w:val="24"/>
          <w:highlight w:val="none"/>
        </w:rPr>
        <w:t>》。</w:t>
      </w:r>
    </w:p>
    <w:p w14:paraId="7988AFA4">
      <w:pPr>
        <w:spacing w:line="440" w:lineRule="exact"/>
        <w:ind w:firstLine="480"/>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20.3在提交投标文件截止时间之后，投标人不得对其电子投标文件作任何修改。</w:t>
      </w:r>
    </w:p>
    <w:p w14:paraId="14FC98D2">
      <w:pPr>
        <w:spacing w:line="440" w:lineRule="exact"/>
        <w:ind w:firstLine="480"/>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20.4在提交投标文件截止时间至招标文件中规定的投标有效期满之间的这段时间内，投标人不得撤回其投标文件。</w:t>
      </w:r>
    </w:p>
    <w:p w14:paraId="7ADDCD6C">
      <w:pPr>
        <w:keepNext/>
        <w:keepLines/>
        <w:spacing w:before="152" w:beforeLines="50" w:after="152" w:afterLines="50" w:line="440" w:lineRule="exact"/>
        <w:outlineLvl w:val="1"/>
        <w:rPr>
          <w:rFonts w:hint="eastAsia" w:ascii="宋体" w:hAnsi="宋体" w:eastAsia="宋体" w:cs="宋体"/>
          <w:b/>
          <w:bCs/>
          <w:color w:val="auto"/>
          <w:sz w:val="32"/>
          <w:szCs w:val="32"/>
          <w:highlight w:val="none"/>
        </w:rPr>
      </w:pPr>
      <w:bookmarkStart w:id="66" w:name="_Toc29345"/>
      <w:bookmarkStart w:id="67" w:name="_Toc32035"/>
      <w:bookmarkStart w:id="68" w:name="_Toc1603"/>
      <w:bookmarkStart w:id="69" w:name="_Toc15284"/>
      <w:bookmarkStart w:id="70" w:name="_Toc31767"/>
      <w:bookmarkStart w:id="71" w:name="_Toc26408"/>
      <w:bookmarkStart w:id="72" w:name="_Toc5428"/>
      <w:bookmarkStart w:id="73" w:name="_Toc7502"/>
      <w:bookmarkStart w:id="74" w:name="_Toc8142"/>
      <w:bookmarkStart w:id="75" w:name="_Toc28189"/>
      <w:bookmarkStart w:id="76" w:name="_Toc19354"/>
      <w:r>
        <w:rPr>
          <w:rFonts w:hint="eastAsia" w:ascii="宋体" w:hAnsi="宋体" w:eastAsia="宋体" w:cs="宋体"/>
          <w:b/>
          <w:bCs/>
          <w:color w:val="auto"/>
          <w:sz w:val="32"/>
          <w:szCs w:val="32"/>
          <w:highlight w:val="none"/>
        </w:rPr>
        <w:t>五、开标与评审</w:t>
      </w:r>
      <w:bookmarkEnd w:id="66"/>
      <w:bookmarkEnd w:id="67"/>
      <w:bookmarkEnd w:id="68"/>
      <w:bookmarkEnd w:id="69"/>
      <w:bookmarkEnd w:id="70"/>
      <w:bookmarkEnd w:id="71"/>
      <w:bookmarkEnd w:id="72"/>
      <w:bookmarkEnd w:id="73"/>
      <w:bookmarkEnd w:id="74"/>
      <w:bookmarkEnd w:id="75"/>
      <w:bookmarkEnd w:id="76"/>
    </w:p>
    <w:p w14:paraId="217F1477">
      <w:pPr>
        <w:keepNext/>
        <w:keepLines/>
        <w:spacing w:line="440" w:lineRule="exact"/>
        <w:ind w:firstLine="138" w:firstLineChars="49"/>
        <w:rPr>
          <w:rFonts w:hint="eastAsia" w:ascii="宋体" w:hAnsi="宋体" w:eastAsia="宋体" w:cs="宋体"/>
          <w:b/>
          <w:color w:val="auto"/>
          <w:kern w:val="0"/>
          <w:sz w:val="28"/>
          <w:szCs w:val="28"/>
          <w:highlight w:val="none"/>
        </w:rPr>
      </w:pPr>
      <w:r>
        <w:rPr>
          <w:rFonts w:hint="eastAsia" w:ascii="宋体" w:hAnsi="宋体" w:eastAsia="宋体" w:cs="宋体"/>
          <w:b/>
          <w:color w:val="auto"/>
          <w:kern w:val="0"/>
          <w:sz w:val="28"/>
          <w:szCs w:val="28"/>
          <w:highlight w:val="none"/>
        </w:rPr>
        <w:t>21、开标</w:t>
      </w:r>
    </w:p>
    <w:p w14:paraId="692F2ACE">
      <w:pPr>
        <w:spacing w:line="440" w:lineRule="exact"/>
        <w:ind w:firstLine="480"/>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21.1代理机构将在招标公告中规定的时间和地点组织公开开标。投标人应当按照《苏采云系统投标人操作手册》规定，参加开标活动和在苏采云系统规定的时间内对投标文件进行解密。</w:t>
      </w:r>
    </w:p>
    <w:p w14:paraId="0E9CF6C6">
      <w:pPr>
        <w:spacing w:line="440" w:lineRule="exact"/>
        <w:ind w:firstLine="480"/>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21.2开标仪式由代理机构组织。苏采云系统将自动对项目进行开标，并宣布各投标人名称。</w:t>
      </w:r>
    </w:p>
    <w:p w14:paraId="6E61EFF0">
      <w:pPr>
        <w:spacing w:line="440" w:lineRule="exact"/>
        <w:ind w:firstLine="480"/>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21.3投标人在开标过程中涉及到的投标文件解密、开标结果确认等工作，应按照《苏采云系统投标人操作手册》规定执行。</w:t>
      </w:r>
    </w:p>
    <w:p w14:paraId="1171674E">
      <w:pPr>
        <w:spacing w:line="440" w:lineRule="exact"/>
        <w:ind w:firstLine="480"/>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21.4投标人如果对开标过程和开标记录有疑义，应当根据《操作手册》规定提出，如苏采云系统中《开标记录表》宣布后5分钟内未提出的，视同认可开标结果。</w:t>
      </w:r>
    </w:p>
    <w:p w14:paraId="5B5C868D">
      <w:pPr>
        <w:keepNext/>
        <w:keepLines/>
        <w:spacing w:line="440" w:lineRule="exact"/>
        <w:ind w:firstLine="138" w:firstLineChars="49"/>
        <w:rPr>
          <w:rFonts w:hint="eastAsia" w:ascii="宋体" w:hAnsi="宋体" w:eastAsia="宋体" w:cs="宋体"/>
          <w:b/>
          <w:color w:val="auto"/>
          <w:kern w:val="0"/>
          <w:sz w:val="28"/>
          <w:szCs w:val="28"/>
          <w:highlight w:val="none"/>
        </w:rPr>
      </w:pPr>
      <w:r>
        <w:rPr>
          <w:rFonts w:hint="eastAsia" w:ascii="宋体" w:hAnsi="宋体" w:eastAsia="宋体" w:cs="宋体"/>
          <w:b/>
          <w:color w:val="auto"/>
          <w:kern w:val="0"/>
          <w:sz w:val="28"/>
          <w:szCs w:val="28"/>
          <w:highlight w:val="none"/>
        </w:rPr>
        <w:t>22、评标委员会</w:t>
      </w:r>
    </w:p>
    <w:p w14:paraId="4362E514">
      <w:pPr>
        <w:spacing w:line="440" w:lineRule="exact"/>
        <w:ind w:firstLine="480"/>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22.1 开标后，代理机构将立即组织评标委员会（以下简称评委会）进行评标。</w:t>
      </w:r>
    </w:p>
    <w:p w14:paraId="08302579">
      <w:pPr>
        <w:spacing w:line="440" w:lineRule="exact"/>
        <w:ind w:firstLine="480"/>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 xml:space="preserve">22.2 </w:t>
      </w:r>
      <w:r>
        <w:rPr>
          <w:rFonts w:hint="eastAsia" w:ascii="宋体" w:hAnsi="宋体" w:eastAsia="宋体" w:cs="宋体"/>
          <w:color w:val="auto"/>
          <w:sz w:val="24"/>
          <w:szCs w:val="24"/>
          <w:highlight w:val="none"/>
        </w:rPr>
        <w:t>评委会由采购人代表和有关技术、经济等方面的专家组成，且人员构成符合政府采购有关规定</w:t>
      </w:r>
      <w:r>
        <w:rPr>
          <w:rFonts w:hint="eastAsia" w:ascii="宋体" w:hAnsi="宋体" w:eastAsia="宋体" w:cs="宋体"/>
          <w:color w:val="auto"/>
          <w:kern w:val="0"/>
          <w:sz w:val="24"/>
          <w:szCs w:val="24"/>
          <w:highlight w:val="none"/>
        </w:rPr>
        <w:t>。</w:t>
      </w:r>
    </w:p>
    <w:p w14:paraId="77D033D4">
      <w:pPr>
        <w:spacing w:line="440" w:lineRule="exact"/>
        <w:ind w:firstLine="480"/>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22.3评委会独立工作，负责评审所有投标文件并确定中标侯选人。</w:t>
      </w:r>
    </w:p>
    <w:p w14:paraId="2FFA8A7A">
      <w:pPr>
        <w:keepNext/>
        <w:keepLines/>
        <w:spacing w:line="440" w:lineRule="exact"/>
        <w:ind w:firstLine="138" w:firstLineChars="49"/>
        <w:rPr>
          <w:rFonts w:hint="eastAsia" w:ascii="宋体" w:hAnsi="宋体" w:eastAsia="宋体" w:cs="宋体"/>
          <w:b/>
          <w:color w:val="auto"/>
          <w:kern w:val="0"/>
          <w:sz w:val="28"/>
          <w:szCs w:val="28"/>
          <w:highlight w:val="none"/>
        </w:rPr>
      </w:pPr>
      <w:r>
        <w:rPr>
          <w:rFonts w:hint="eastAsia" w:ascii="宋体" w:hAnsi="宋体" w:eastAsia="宋体" w:cs="宋体"/>
          <w:b/>
          <w:color w:val="auto"/>
          <w:kern w:val="0"/>
          <w:sz w:val="28"/>
          <w:szCs w:val="28"/>
          <w:highlight w:val="none"/>
        </w:rPr>
        <w:t>23、评审过程的保密与公正</w:t>
      </w:r>
    </w:p>
    <w:p w14:paraId="3A4F06DF">
      <w:pPr>
        <w:spacing w:line="440" w:lineRule="exact"/>
        <w:ind w:firstLine="480"/>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23.1凡是与审查、澄清、评价和比较投标的有关资料以及授标建议等，采购人、评委、代理机构均不得向投标人或与评标无关的其他人员透露。</w:t>
      </w:r>
    </w:p>
    <w:p w14:paraId="39DC2CCA">
      <w:pPr>
        <w:spacing w:line="440" w:lineRule="exact"/>
        <w:ind w:firstLine="480"/>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23.2在评标过程中，投标人不得以任何行为影响评标过程，否则其投标文件将被作为无效投标文件。</w:t>
      </w:r>
    </w:p>
    <w:p w14:paraId="1A5D61A5">
      <w:pPr>
        <w:spacing w:line="440" w:lineRule="exact"/>
        <w:ind w:firstLine="480"/>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23.3 代理机构和评委会不向未中标的投标人解释未中标原因，也不公布评标过程中的相关细节。</w:t>
      </w:r>
    </w:p>
    <w:p w14:paraId="05B8E590">
      <w:pPr>
        <w:spacing w:line="440" w:lineRule="exact"/>
        <w:ind w:firstLine="480"/>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23.4 采用综合评分法的项目，未中标的投标人可于中标结果公告期限届满之日起通过苏采云系统查看自己的评审得分及排序情况。</w:t>
      </w:r>
    </w:p>
    <w:p w14:paraId="54E79823">
      <w:pPr>
        <w:keepNext/>
        <w:keepLines/>
        <w:spacing w:line="440" w:lineRule="exact"/>
        <w:ind w:firstLine="138" w:firstLineChars="49"/>
        <w:rPr>
          <w:rFonts w:hint="eastAsia" w:ascii="宋体" w:hAnsi="宋体" w:eastAsia="宋体" w:cs="宋体"/>
          <w:b/>
          <w:color w:val="auto"/>
          <w:kern w:val="0"/>
          <w:sz w:val="28"/>
          <w:szCs w:val="28"/>
          <w:highlight w:val="none"/>
        </w:rPr>
      </w:pPr>
      <w:r>
        <w:rPr>
          <w:rFonts w:hint="eastAsia" w:ascii="宋体" w:hAnsi="宋体" w:eastAsia="宋体" w:cs="宋体"/>
          <w:b/>
          <w:color w:val="auto"/>
          <w:kern w:val="0"/>
          <w:sz w:val="28"/>
          <w:szCs w:val="28"/>
          <w:highlight w:val="none"/>
        </w:rPr>
        <w:t>24、投标文件的澄清</w:t>
      </w:r>
    </w:p>
    <w:p w14:paraId="1BF73FD3">
      <w:pPr>
        <w:spacing w:line="440" w:lineRule="exact"/>
        <w:ind w:firstLine="480"/>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24.1 评标期间，评委会对投标文件中含义不明确、同类问题表述不一致或者有明显文字和计算错误的内容，有权要求投标人作出必要的澄清、说明或者补正。</w:t>
      </w:r>
    </w:p>
    <w:p w14:paraId="33F49C90">
      <w:pPr>
        <w:spacing w:line="440" w:lineRule="exact"/>
        <w:ind w:firstLine="480"/>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投标人的澄清、说明或者补正不得超出投标文件的范围或者改变投标文件的实质性内容。</w:t>
      </w:r>
    </w:p>
    <w:p w14:paraId="56BC99CE">
      <w:pPr>
        <w:spacing w:line="440" w:lineRule="exact"/>
        <w:ind w:firstLine="480"/>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评标委员会并非对每个投标人都做澄清要求。</w:t>
      </w:r>
    </w:p>
    <w:p w14:paraId="14CB4E24">
      <w:pPr>
        <w:spacing w:line="440" w:lineRule="exact"/>
        <w:ind w:firstLine="480"/>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24.2 需要投标人进行澄清、说明和补正的，评委会将通过苏采云系统向投标人发出“澄清要求函”，接到“澄清要求函”的投标人应当按照要求在苏采云系统中提交“澄清响应函”并加盖CA电子公章。澄清、说明和补正的内容作为投标文件的补充部分，具体操作方式见《苏采云系统供应商操作手册》。</w:t>
      </w:r>
    </w:p>
    <w:p w14:paraId="50C13398">
      <w:pPr>
        <w:spacing w:line="440" w:lineRule="exact"/>
        <w:ind w:firstLine="480"/>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24.3 接到评委会澄清、说明和补正要求的投标人如未按规定做出澄清、说明和补正，其风险由投标人自行承担。</w:t>
      </w:r>
    </w:p>
    <w:p w14:paraId="33269AF6">
      <w:pPr>
        <w:keepNext/>
        <w:keepLines/>
        <w:spacing w:line="440" w:lineRule="exact"/>
        <w:ind w:firstLine="138" w:firstLineChars="49"/>
        <w:rPr>
          <w:rFonts w:hint="eastAsia" w:ascii="宋体" w:hAnsi="宋体" w:eastAsia="宋体" w:cs="宋体"/>
          <w:b/>
          <w:color w:val="auto"/>
          <w:kern w:val="0"/>
          <w:sz w:val="28"/>
          <w:szCs w:val="28"/>
          <w:highlight w:val="none"/>
        </w:rPr>
      </w:pPr>
      <w:r>
        <w:rPr>
          <w:rFonts w:hint="eastAsia" w:ascii="宋体" w:hAnsi="宋体" w:eastAsia="宋体" w:cs="宋体"/>
          <w:b/>
          <w:color w:val="auto"/>
          <w:kern w:val="0"/>
          <w:sz w:val="28"/>
          <w:szCs w:val="28"/>
          <w:highlight w:val="none"/>
        </w:rPr>
        <w:t>25、对投标文件的审查</w:t>
      </w:r>
    </w:p>
    <w:p w14:paraId="2D088F49">
      <w:pPr>
        <w:spacing w:line="440" w:lineRule="exact"/>
        <w:ind w:firstLine="480"/>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25.1投标文件审查分为资格审查和符合性审查。</w:t>
      </w:r>
    </w:p>
    <w:p w14:paraId="7301C6AE">
      <w:pPr>
        <w:spacing w:line="440" w:lineRule="exact"/>
        <w:ind w:firstLine="787" w:firstLineChars="328"/>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25.1.1</w:t>
      </w:r>
      <w:r>
        <w:rPr>
          <w:rFonts w:hint="eastAsia" w:ascii="宋体" w:hAnsi="宋体" w:eastAsia="宋体" w:cs="宋体"/>
          <w:bCs/>
          <w:color w:val="auto"/>
          <w:sz w:val="24"/>
          <w:szCs w:val="21"/>
          <w:highlight w:val="none"/>
        </w:rPr>
        <w:t>资格审查：依据法律法规和招标文件的规定，由采购人对投标文件中的资格证明文件进行审查。资格审查的结论，采购人以书面形式向评委会进行反馈。</w:t>
      </w:r>
    </w:p>
    <w:p w14:paraId="24FE160F">
      <w:pPr>
        <w:spacing w:line="440" w:lineRule="exact"/>
        <w:ind w:firstLine="787" w:firstLineChars="328"/>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采购人在进行资格审查的同时，将在信用中国 （ https://www.creditchina.gov.cn/ ） 对投标人的诚信记录进行查询，以确定投标人是否具备投标资格,查询结果留存并归档。</w:t>
      </w:r>
    </w:p>
    <w:p w14:paraId="10E4F2E5">
      <w:pPr>
        <w:spacing w:line="440" w:lineRule="exact"/>
        <w:ind w:firstLine="787" w:firstLineChars="328"/>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接受联合体的项目，两个以上的自然人、法人或者其他组织组成一个联合体，以一个投标人的身份共同参加政府采购活动的，联合体成员中任何一方存在不良信用记录的，视同联合体存在不良应用记录。</w:t>
      </w:r>
    </w:p>
    <w:p w14:paraId="16553B24">
      <w:pPr>
        <w:spacing w:line="440" w:lineRule="exact"/>
        <w:ind w:firstLine="787" w:firstLineChars="328"/>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25.1.2符合性审查：依据招标文件的规定，由评委会从投标文件的有效性、完整性和对招标文件的响应程度进行审查，以确定是否对招标文件的实质性要求作出响应。</w:t>
      </w:r>
    </w:p>
    <w:p w14:paraId="2214DC0D">
      <w:pPr>
        <w:spacing w:line="440" w:lineRule="exact"/>
        <w:ind w:firstLine="787" w:firstLineChars="328"/>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25.1.3未通过资格审查或符合性审查的投标人，评委会将在苏采云系统中告知未通过资格审查或符合性审查的原因，评审结束后，评委会将不再告知未通过资格审查或符合性审查的原因。</w:t>
      </w:r>
    </w:p>
    <w:p w14:paraId="675A41C0">
      <w:pPr>
        <w:spacing w:line="440" w:lineRule="exact"/>
        <w:ind w:firstLine="480"/>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25.2在详细评审之前，评委会将首先审查每份投标文件是否实质性响应了招标文件的要求。实质性响应的投标文件应该是与招标文件要求的条款、条件和规格相符，没有重大偏离或保留。</w:t>
      </w:r>
    </w:p>
    <w:p w14:paraId="732D931A">
      <w:pPr>
        <w:spacing w:line="440" w:lineRule="exact"/>
        <w:ind w:firstLine="480"/>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所谓重大偏离或保留是指与招标文件规定的实质性要求存在负偏离，或者在实质上与招标文件不一致，而且限制了合同中买方和代理机构的权利或投标人的义务，纠正这些偏离或保留将会对其他实质性响应要求的投标人的竞争地位产生不公正的影响。重大偏离由评委会按照少数服从多数的原则认定。评委会决定投标文件的响应性只根据投标文件本身的内容，而不寻求外部的证据。</w:t>
      </w:r>
    </w:p>
    <w:p w14:paraId="1A3469E8">
      <w:pPr>
        <w:spacing w:line="440" w:lineRule="exact"/>
        <w:ind w:firstLine="480"/>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25.3如果投标文件实质上没有响应招标文件的要求，评委会将予以拒绝，投标人不得通过修改或撤销不合要求的偏离或保留而使其投标成为实质性响应的投标。</w:t>
      </w:r>
    </w:p>
    <w:p w14:paraId="650B260D">
      <w:pPr>
        <w:spacing w:line="440" w:lineRule="exact"/>
        <w:ind w:firstLine="480"/>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25.4评委会将对确定为实质性响应的投标文件进行进一步审核，看其是否有计算上或累加上的算术错误，修正错误的原则如下：</w:t>
      </w:r>
    </w:p>
    <w:p w14:paraId="7524F188">
      <w:pPr>
        <w:spacing w:line="460" w:lineRule="exact"/>
        <w:ind w:firstLine="480"/>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（1）投标文件中开标一览表内容与投标文件中相应内容不一致的，以开标一览表为准。</w:t>
      </w:r>
    </w:p>
    <w:p w14:paraId="627659FB">
      <w:pPr>
        <w:spacing w:line="460" w:lineRule="exact"/>
        <w:ind w:firstLine="480"/>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（2）大写金额和小写金额不一致的，以大写金额为准。</w:t>
      </w:r>
    </w:p>
    <w:p w14:paraId="0591069B">
      <w:pPr>
        <w:spacing w:line="460" w:lineRule="exact"/>
        <w:ind w:firstLine="480"/>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（3）单价金额小数点或者百分比有明显错位的，以开标一览表的总价为准，并修改单价。</w:t>
      </w:r>
    </w:p>
    <w:p w14:paraId="22F7BC8D">
      <w:pPr>
        <w:spacing w:line="460" w:lineRule="exact"/>
        <w:ind w:firstLine="480"/>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（4）总价金额与按单价汇总金额不一致的，以单价金额计算结果为准。</w:t>
      </w:r>
    </w:p>
    <w:p w14:paraId="5F33DEE2">
      <w:pPr>
        <w:spacing w:line="460" w:lineRule="exact"/>
        <w:ind w:firstLine="480"/>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同时出现两种以上错误的，按照前款规定的顺序修正。</w:t>
      </w:r>
    </w:p>
    <w:p w14:paraId="16D94C7E">
      <w:pPr>
        <w:spacing w:line="440" w:lineRule="exact"/>
        <w:ind w:firstLine="480"/>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25.5评委会将按上述修正错误的方法调整投标文件中的报价价格，并通过苏采云系统告知投标人，调整后的价格应对投标人具有约束力。如果投标人不接受修正后的价格，则其投标将被拒绝。</w:t>
      </w:r>
    </w:p>
    <w:p w14:paraId="5E05D960">
      <w:pPr>
        <w:spacing w:line="440" w:lineRule="exact"/>
        <w:ind w:firstLine="480"/>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25.6使用综合评分法的采购项目，评委会将对通过资格性和符合性检查的投标人进行综合评审，按评审后得分由高到低顺序排列。评审得分相同的，由评委会根据招标文件规定的方式（招标文件未规定的采取随机抽取的方式）确定一个中标候选人。</w:t>
      </w:r>
    </w:p>
    <w:p w14:paraId="1746FC8F">
      <w:pPr>
        <w:spacing w:line="440" w:lineRule="exact"/>
        <w:ind w:firstLine="480"/>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25.7投标人在开、评标全过程中应保持通讯畅通，及时登录苏采云系统查阅、答复相关信息，并安排专人与代理机构及评委会联系。</w:t>
      </w:r>
    </w:p>
    <w:p w14:paraId="6833AA53">
      <w:pPr>
        <w:keepNext/>
        <w:keepLines/>
        <w:spacing w:line="440" w:lineRule="exact"/>
        <w:ind w:firstLine="138" w:firstLineChars="49"/>
        <w:rPr>
          <w:rFonts w:hint="eastAsia" w:ascii="宋体" w:hAnsi="宋体" w:eastAsia="宋体" w:cs="宋体"/>
          <w:b/>
          <w:color w:val="auto"/>
          <w:kern w:val="0"/>
          <w:sz w:val="28"/>
          <w:szCs w:val="28"/>
          <w:highlight w:val="none"/>
        </w:rPr>
      </w:pPr>
      <w:r>
        <w:rPr>
          <w:rFonts w:hint="eastAsia" w:ascii="宋体" w:hAnsi="宋体" w:eastAsia="宋体" w:cs="宋体"/>
          <w:b/>
          <w:color w:val="auto"/>
          <w:kern w:val="0"/>
          <w:sz w:val="28"/>
          <w:szCs w:val="28"/>
          <w:highlight w:val="none"/>
        </w:rPr>
        <w:t>26、无效投标条款和废标条款</w:t>
      </w:r>
    </w:p>
    <w:p w14:paraId="07C73227">
      <w:pPr>
        <w:spacing w:line="440" w:lineRule="exact"/>
        <w:ind w:firstLine="480"/>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26.1无效投标条款</w:t>
      </w:r>
    </w:p>
    <w:p w14:paraId="0CF7F485">
      <w:pPr>
        <w:spacing w:line="440" w:lineRule="exact"/>
        <w:ind w:firstLine="720" w:firstLineChars="300"/>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26.1.1投标人在苏采云系统规定的时间内未成功解密电子投标文件的。</w:t>
      </w:r>
    </w:p>
    <w:p w14:paraId="0F5CB26D">
      <w:pPr>
        <w:spacing w:line="440" w:lineRule="exact"/>
        <w:ind w:firstLine="720" w:firstLineChars="300"/>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26.1.2投标人未按照招标文件要求上传电子投标文件的。</w:t>
      </w:r>
    </w:p>
    <w:p w14:paraId="186D3DEC">
      <w:pPr>
        <w:spacing w:line="440" w:lineRule="exact"/>
        <w:ind w:firstLine="720" w:firstLineChars="300"/>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26.1.3同一投标人提交两个（含两个）以上不同的投标报价的。</w:t>
      </w:r>
    </w:p>
    <w:p w14:paraId="6BDA5462">
      <w:pPr>
        <w:spacing w:line="440" w:lineRule="exact"/>
        <w:ind w:firstLine="720" w:firstLineChars="300"/>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26.1.4投标人不具备招标文件中规定资格要求的。</w:t>
      </w:r>
    </w:p>
    <w:p w14:paraId="0733A689">
      <w:pPr>
        <w:spacing w:line="440" w:lineRule="exact"/>
        <w:ind w:firstLine="720" w:firstLineChars="300"/>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26.1.5投标人的报价超过了采购预算</w:t>
      </w:r>
      <w:r>
        <w:rPr>
          <w:rFonts w:hint="eastAsia" w:ascii="宋体" w:hAnsi="宋体" w:eastAsia="宋体" w:cs="宋体"/>
          <w:color w:val="auto"/>
          <w:sz w:val="24"/>
          <w:highlight w:val="none"/>
        </w:rPr>
        <w:t>或最高限价的</w:t>
      </w:r>
      <w:r>
        <w:rPr>
          <w:rFonts w:hint="eastAsia" w:ascii="宋体" w:hAnsi="宋体" w:eastAsia="宋体" w:cs="宋体"/>
          <w:color w:val="auto"/>
          <w:kern w:val="0"/>
          <w:sz w:val="24"/>
          <w:szCs w:val="24"/>
          <w:highlight w:val="none"/>
        </w:rPr>
        <w:t>。</w:t>
      </w:r>
    </w:p>
    <w:p w14:paraId="525BF082">
      <w:pPr>
        <w:spacing w:line="440" w:lineRule="exact"/>
        <w:ind w:firstLine="720" w:firstLineChars="300"/>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26.1.6未通过符合性审查的。</w:t>
      </w:r>
    </w:p>
    <w:p w14:paraId="7C332DBF">
      <w:pPr>
        <w:spacing w:line="440" w:lineRule="exact"/>
        <w:ind w:firstLine="720" w:firstLineChars="300"/>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26.1.7不符合招标文件中规定的实质性要求和条件的（</w:t>
      </w:r>
      <w:r>
        <w:rPr>
          <w:rFonts w:hint="eastAsia" w:ascii="宋体" w:hAnsi="宋体" w:eastAsia="宋体" w:cs="宋体"/>
          <w:b/>
          <w:bCs/>
          <w:color w:val="auto"/>
          <w:kern w:val="0"/>
          <w:sz w:val="24"/>
          <w:szCs w:val="24"/>
          <w:highlight w:val="none"/>
        </w:rPr>
        <w:t>本招标文件中标“★”的相关要求为实质性要求和条件）</w:t>
      </w:r>
      <w:r>
        <w:rPr>
          <w:rFonts w:hint="eastAsia" w:ascii="宋体" w:hAnsi="宋体" w:eastAsia="宋体" w:cs="宋体"/>
          <w:color w:val="auto"/>
          <w:kern w:val="0"/>
          <w:sz w:val="24"/>
          <w:szCs w:val="24"/>
          <w:highlight w:val="none"/>
        </w:rPr>
        <w:t>。</w:t>
      </w:r>
    </w:p>
    <w:p w14:paraId="2A04A1DA">
      <w:pPr>
        <w:spacing w:line="440" w:lineRule="exact"/>
        <w:ind w:firstLine="720" w:firstLineChars="300"/>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26.1.8投标人被“信用中国”（www.creditchina.gov.cn）等网站列入失信被执行人或重大税收违法案件当事人名单或政府采购严重失信行为记录名单，以及存在企业经营异常名录中被责令停产停业、吊销许可证或者执照，或者对经营活动中的违法行为处以200万元以上罚款的不良信用记录。</w:t>
      </w:r>
    </w:p>
    <w:p w14:paraId="09F701CD">
      <w:pPr>
        <w:spacing w:line="440" w:lineRule="exact"/>
        <w:ind w:firstLine="720" w:firstLineChars="300"/>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26.1.9投标文件含有采购人不能接受的附加条件的。</w:t>
      </w:r>
    </w:p>
    <w:p w14:paraId="55923267">
      <w:pPr>
        <w:spacing w:line="440" w:lineRule="exact"/>
        <w:ind w:firstLine="720" w:firstLineChars="300"/>
        <w:rPr>
          <w:rFonts w:hint="eastAsia" w:ascii="宋体" w:hAnsi="宋体" w:eastAsia="宋体" w:cs="宋体"/>
          <w:bCs/>
          <w:color w:val="auto"/>
          <w:kern w:val="0"/>
          <w:sz w:val="24"/>
          <w:szCs w:val="24"/>
          <w:highlight w:val="none"/>
        </w:rPr>
      </w:pPr>
      <w:r>
        <w:rPr>
          <w:rFonts w:hint="eastAsia" w:ascii="宋体" w:hAnsi="宋体" w:eastAsia="宋体" w:cs="宋体"/>
          <w:bCs/>
          <w:color w:val="auto"/>
          <w:kern w:val="0"/>
          <w:sz w:val="24"/>
          <w:szCs w:val="24"/>
          <w:highlight w:val="none"/>
        </w:rPr>
        <w:t>26.1.10评标委员会认为投标人的报价明显低于其他通过符合性审查投标人的报价，有可能影响产品质量或者不能诚信履约的，将通过</w:t>
      </w:r>
      <w:r>
        <w:rPr>
          <w:rFonts w:hint="eastAsia" w:ascii="宋体" w:hAnsi="宋体" w:eastAsia="宋体" w:cs="宋体"/>
          <w:color w:val="auto"/>
          <w:kern w:val="0"/>
          <w:sz w:val="24"/>
          <w:szCs w:val="24"/>
          <w:highlight w:val="none"/>
        </w:rPr>
        <w:t>苏采云系统</w:t>
      </w:r>
      <w:r>
        <w:rPr>
          <w:rFonts w:hint="eastAsia" w:ascii="宋体" w:hAnsi="宋体" w:eastAsia="宋体" w:cs="宋体"/>
          <w:bCs/>
          <w:color w:val="auto"/>
          <w:kern w:val="0"/>
          <w:sz w:val="24"/>
          <w:szCs w:val="24"/>
          <w:highlight w:val="none"/>
        </w:rPr>
        <w:t>要求其在合理的时间内提供说明，必要时提交相关证明材料；投标人不能证明其报价合理性的，评标委员会应当将其作为无效投标处理。</w:t>
      </w:r>
    </w:p>
    <w:p w14:paraId="168E5F31">
      <w:pPr>
        <w:spacing w:line="440" w:lineRule="exact"/>
        <w:ind w:firstLine="720" w:firstLineChars="300"/>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26.1.11本项目采购产品被财政部、国家发改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p>
    <w:p w14:paraId="41E06A0E">
      <w:pPr>
        <w:spacing w:line="440" w:lineRule="exact"/>
        <w:ind w:firstLine="720" w:firstLineChars="300"/>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26.1.12投标文件未按照招标文件要求加盖CA电子公章的。</w:t>
      </w:r>
    </w:p>
    <w:p w14:paraId="64D32147">
      <w:pPr>
        <w:spacing w:line="440" w:lineRule="exact"/>
        <w:ind w:firstLine="720" w:firstLineChars="300"/>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26.1.13</w:t>
      </w:r>
      <w:r>
        <w:rPr>
          <w:rFonts w:hint="eastAsia" w:ascii="宋体" w:hAnsi="宋体" w:eastAsia="宋体" w:cs="宋体"/>
          <w:bCs/>
          <w:color w:val="auto"/>
          <w:sz w:val="24"/>
          <w:szCs w:val="21"/>
          <w:highlight w:val="none"/>
        </w:rPr>
        <w:t>其他法律、法规及本招标文件规定的属无效投标的情形。</w:t>
      </w:r>
    </w:p>
    <w:p w14:paraId="06598D7D">
      <w:pPr>
        <w:spacing w:line="440" w:lineRule="exact"/>
        <w:ind w:firstLine="480"/>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26.2废标条款</w:t>
      </w:r>
    </w:p>
    <w:p w14:paraId="078F26E4">
      <w:pPr>
        <w:spacing w:line="440" w:lineRule="exact"/>
        <w:ind w:firstLine="720" w:firstLineChars="300"/>
        <w:rPr>
          <w:rFonts w:hint="eastAsia" w:ascii="宋体" w:hAnsi="宋体" w:eastAsia="宋体" w:cs="宋体"/>
          <w:bCs/>
          <w:color w:val="auto"/>
          <w:sz w:val="24"/>
          <w:szCs w:val="21"/>
          <w:highlight w:val="none"/>
        </w:rPr>
      </w:pPr>
      <w:r>
        <w:rPr>
          <w:rFonts w:hint="eastAsia" w:ascii="宋体" w:hAnsi="宋体" w:eastAsia="宋体" w:cs="宋体"/>
          <w:color w:val="auto"/>
          <w:kern w:val="0"/>
          <w:sz w:val="24"/>
          <w:szCs w:val="24"/>
          <w:highlight w:val="none"/>
        </w:rPr>
        <w:t>26.2.1</w:t>
      </w:r>
      <w:r>
        <w:rPr>
          <w:rFonts w:hint="eastAsia" w:ascii="宋体" w:hAnsi="宋体" w:eastAsia="宋体" w:cs="宋体"/>
          <w:bCs/>
          <w:color w:val="auto"/>
          <w:sz w:val="24"/>
          <w:szCs w:val="21"/>
          <w:highlight w:val="none"/>
        </w:rPr>
        <w:t>符合专业条件的投标人或者对招标文件作实质响应的投标人不足三家的。</w:t>
      </w:r>
    </w:p>
    <w:p w14:paraId="5B1E0318">
      <w:pPr>
        <w:spacing w:line="440" w:lineRule="exact"/>
        <w:ind w:firstLine="720" w:firstLineChars="300"/>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26.2.2出现影响采购公正的违法、违规行为的。</w:t>
      </w:r>
    </w:p>
    <w:p w14:paraId="74B88DFB">
      <w:pPr>
        <w:spacing w:line="440" w:lineRule="exact"/>
        <w:ind w:firstLine="720" w:firstLineChars="300"/>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26.2.3因重大变故，采购任务取消的。</w:t>
      </w:r>
    </w:p>
    <w:p w14:paraId="6136F655">
      <w:pPr>
        <w:spacing w:line="440" w:lineRule="exact"/>
        <w:ind w:firstLine="720" w:firstLineChars="300"/>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26.2.4评标委员会认定招标文件存在歧义、重大缺陷导致评审工作无法进行。</w:t>
      </w:r>
    </w:p>
    <w:p w14:paraId="7117A238">
      <w:pPr>
        <w:spacing w:line="440" w:lineRule="exact"/>
        <w:ind w:firstLine="720" w:firstLineChars="300"/>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26.2.5因苏采云系统系统故障原因造成开标不成功的。</w:t>
      </w:r>
    </w:p>
    <w:p w14:paraId="58D79A9A">
      <w:pPr>
        <w:spacing w:line="440" w:lineRule="exact"/>
        <w:ind w:firstLine="720" w:firstLineChars="300"/>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26.2.6</w:t>
      </w:r>
      <w:r>
        <w:rPr>
          <w:rFonts w:hint="eastAsia" w:ascii="宋体" w:hAnsi="宋体" w:eastAsia="宋体" w:cs="宋体"/>
          <w:color w:val="auto"/>
          <w:sz w:val="24"/>
          <w:highlight w:val="none"/>
        </w:rPr>
        <w:t>投标文件接受截止时间结束后参加投标的投标人不足</w:t>
      </w:r>
      <w:r>
        <w:rPr>
          <w:rFonts w:hint="eastAsia" w:ascii="宋体" w:hAnsi="宋体" w:eastAsia="宋体" w:cs="宋体"/>
          <w:color w:val="auto"/>
          <w:kern w:val="0"/>
          <w:sz w:val="24"/>
          <w:szCs w:val="24"/>
          <w:highlight w:val="none"/>
        </w:rPr>
        <w:t>三家的处理：</w:t>
      </w:r>
    </w:p>
    <w:p w14:paraId="628B8B96">
      <w:pPr>
        <w:spacing w:line="440" w:lineRule="exact"/>
        <w:ind w:firstLine="720" w:firstLineChars="300"/>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26.2.7如出现投标截止时间结束后参加投标的投标人或者在评标期间对招标文件做出实质响应的投标人不足三家情况，按政府采购相关规定执行。</w:t>
      </w:r>
    </w:p>
    <w:p w14:paraId="0F1BB60A">
      <w:pPr>
        <w:keepNext/>
        <w:keepLines/>
        <w:spacing w:before="152" w:beforeLines="50" w:after="152" w:afterLines="50" w:line="440" w:lineRule="exact"/>
        <w:outlineLvl w:val="1"/>
        <w:rPr>
          <w:rFonts w:hint="eastAsia" w:ascii="宋体" w:hAnsi="宋体" w:eastAsia="宋体" w:cs="宋体"/>
          <w:b/>
          <w:bCs/>
          <w:color w:val="auto"/>
          <w:sz w:val="32"/>
          <w:szCs w:val="32"/>
          <w:highlight w:val="none"/>
        </w:rPr>
      </w:pPr>
      <w:bookmarkStart w:id="77" w:name="_Toc13187"/>
      <w:bookmarkStart w:id="78" w:name="_Toc15817"/>
      <w:bookmarkStart w:id="79" w:name="_Toc19188"/>
      <w:bookmarkStart w:id="80" w:name="_Toc9362"/>
      <w:bookmarkStart w:id="81" w:name="_Toc48"/>
      <w:bookmarkStart w:id="82" w:name="_Toc17432"/>
      <w:bookmarkStart w:id="83" w:name="_Toc207"/>
      <w:bookmarkStart w:id="84" w:name="_Toc6218"/>
      <w:bookmarkStart w:id="85" w:name="_Toc881"/>
      <w:bookmarkStart w:id="86" w:name="_Toc954"/>
      <w:bookmarkStart w:id="87" w:name="_Toc30141"/>
      <w:r>
        <w:rPr>
          <w:rFonts w:hint="eastAsia" w:ascii="宋体" w:hAnsi="宋体" w:eastAsia="宋体" w:cs="宋体"/>
          <w:b/>
          <w:bCs/>
          <w:color w:val="auto"/>
          <w:sz w:val="32"/>
          <w:szCs w:val="32"/>
          <w:highlight w:val="none"/>
        </w:rPr>
        <w:t>六、</w:t>
      </w:r>
      <w:bookmarkEnd w:id="77"/>
      <w:bookmarkEnd w:id="78"/>
      <w:bookmarkEnd w:id="79"/>
      <w:bookmarkEnd w:id="80"/>
      <w:bookmarkEnd w:id="81"/>
      <w:bookmarkEnd w:id="82"/>
      <w:r>
        <w:rPr>
          <w:rFonts w:hint="eastAsia" w:ascii="宋体" w:hAnsi="宋体" w:eastAsia="宋体" w:cs="宋体"/>
          <w:b/>
          <w:bCs/>
          <w:color w:val="auto"/>
          <w:sz w:val="32"/>
          <w:szCs w:val="32"/>
          <w:highlight w:val="none"/>
        </w:rPr>
        <w:t>定标</w:t>
      </w:r>
      <w:bookmarkEnd w:id="83"/>
      <w:bookmarkEnd w:id="84"/>
      <w:bookmarkEnd w:id="85"/>
      <w:bookmarkEnd w:id="86"/>
      <w:bookmarkEnd w:id="87"/>
    </w:p>
    <w:p w14:paraId="2125D535">
      <w:pPr>
        <w:keepNext/>
        <w:keepLines/>
        <w:spacing w:line="440" w:lineRule="exact"/>
        <w:ind w:firstLine="138" w:firstLineChars="49"/>
        <w:rPr>
          <w:rFonts w:hint="eastAsia" w:ascii="宋体" w:hAnsi="宋体" w:eastAsia="宋体" w:cs="宋体"/>
          <w:b/>
          <w:color w:val="auto"/>
          <w:kern w:val="0"/>
          <w:sz w:val="28"/>
          <w:szCs w:val="28"/>
          <w:highlight w:val="none"/>
        </w:rPr>
      </w:pPr>
      <w:r>
        <w:rPr>
          <w:rFonts w:hint="eastAsia" w:ascii="宋体" w:hAnsi="宋体" w:eastAsia="宋体" w:cs="宋体"/>
          <w:b/>
          <w:color w:val="auto"/>
          <w:kern w:val="0"/>
          <w:sz w:val="28"/>
          <w:szCs w:val="28"/>
          <w:highlight w:val="none"/>
        </w:rPr>
        <w:t>27、确定中标单位</w:t>
      </w:r>
    </w:p>
    <w:p w14:paraId="159E0717">
      <w:pPr>
        <w:spacing w:line="440" w:lineRule="exact"/>
        <w:ind w:firstLine="480"/>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 xml:space="preserve">27.1中标候选人的选取原则和数量见招标文件第五章规定。 </w:t>
      </w:r>
    </w:p>
    <w:p w14:paraId="6AE5AD8C">
      <w:pPr>
        <w:spacing w:line="440" w:lineRule="exact"/>
        <w:ind w:firstLine="480"/>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27.2 采购人应根据评委会推荐的中标候选人确定中标人。</w:t>
      </w:r>
    </w:p>
    <w:p w14:paraId="1233CEF6">
      <w:pPr>
        <w:spacing w:line="440" w:lineRule="exact"/>
        <w:ind w:firstLine="480"/>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27.3 代理机构将在指定媒体上发布中标公告，公告期限为1个工作日。</w:t>
      </w:r>
    </w:p>
    <w:p w14:paraId="5DABC444">
      <w:pPr>
        <w:spacing w:line="440" w:lineRule="exact"/>
        <w:ind w:firstLine="480"/>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27.4  若有充分证据证明，中标人出现下列情况之一的，一经查实，将被取消中标资格：</w:t>
      </w:r>
    </w:p>
    <w:p w14:paraId="20F611CB">
      <w:pPr>
        <w:spacing w:line="440" w:lineRule="exact"/>
        <w:ind w:firstLine="787" w:firstLineChars="328"/>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27.4.1提供虚假材料谋取中标的。</w:t>
      </w:r>
    </w:p>
    <w:p w14:paraId="407C1C99">
      <w:pPr>
        <w:spacing w:line="440" w:lineRule="exact"/>
        <w:ind w:firstLine="787" w:firstLineChars="328"/>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27.4.2向采购人、代理机构行贿或者提供其他不正当利益的。</w:t>
      </w:r>
    </w:p>
    <w:p w14:paraId="27230B15">
      <w:pPr>
        <w:spacing w:line="440" w:lineRule="exact"/>
        <w:ind w:firstLine="787" w:firstLineChars="328"/>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27.4.3属于本文件规定的无效条件，但在评标过程中又未被评委会发现的。</w:t>
      </w:r>
    </w:p>
    <w:p w14:paraId="522325CD">
      <w:pPr>
        <w:spacing w:line="440" w:lineRule="exact"/>
        <w:ind w:firstLine="787" w:firstLineChars="328"/>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27.4.4与采购人或者其他投标人恶意串通的。</w:t>
      </w:r>
    </w:p>
    <w:p w14:paraId="5FBA4976">
      <w:pPr>
        <w:spacing w:line="440" w:lineRule="exact"/>
        <w:ind w:firstLine="787" w:firstLineChars="328"/>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27.4.5采取不正当手段诋毁、排挤其他投标人的。</w:t>
      </w:r>
    </w:p>
    <w:p w14:paraId="183E530A">
      <w:pPr>
        <w:spacing w:line="440" w:lineRule="exact"/>
        <w:ind w:firstLine="480"/>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27.5. 有下列情形之一的，视为投标人串通投标，投标无效：</w:t>
      </w:r>
    </w:p>
    <w:p w14:paraId="3E9132EC">
      <w:pPr>
        <w:spacing w:line="440" w:lineRule="exact"/>
        <w:ind w:firstLine="787" w:firstLineChars="328"/>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27.5.1不同投标人的投标文件由同一单位或者个人编制；</w:t>
      </w:r>
    </w:p>
    <w:p w14:paraId="792B553B">
      <w:pPr>
        <w:spacing w:line="440" w:lineRule="exact"/>
        <w:ind w:firstLine="787" w:firstLineChars="328"/>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27.5.2不同投标人委托同一单位或者个人办理投标事宜；</w:t>
      </w:r>
    </w:p>
    <w:p w14:paraId="5A1B8D35">
      <w:pPr>
        <w:spacing w:line="440" w:lineRule="exact"/>
        <w:ind w:firstLine="787" w:firstLineChars="328"/>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27.5.3 不同投标人的投标文件载明的项目管理成员或者联系人员为同一人；</w:t>
      </w:r>
    </w:p>
    <w:p w14:paraId="3B3EE37C">
      <w:pPr>
        <w:spacing w:line="440" w:lineRule="exact"/>
        <w:ind w:firstLine="787" w:firstLineChars="328"/>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28.5.4不同投标人的投标文件异常一致或者投标报价呈规律性差异。</w:t>
      </w:r>
    </w:p>
    <w:p w14:paraId="6D72D5C0">
      <w:pPr>
        <w:keepNext/>
        <w:keepLines/>
        <w:spacing w:line="440" w:lineRule="exact"/>
        <w:ind w:firstLine="138" w:firstLineChars="49"/>
        <w:rPr>
          <w:rFonts w:hint="eastAsia" w:ascii="宋体" w:hAnsi="宋体" w:eastAsia="宋体" w:cs="宋体"/>
          <w:b/>
          <w:color w:val="auto"/>
          <w:kern w:val="0"/>
          <w:sz w:val="28"/>
          <w:szCs w:val="28"/>
          <w:highlight w:val="none"/>
        </w:rPr>
      </w:pPr>
      <w:r>
        <w:rPr>
          <w:rFonts w:hint="eastAsia" w:ascii="宋体" w:hAnsi="宋体" w:eastAsia="宋体" w:cs="宋体"/>
          <w:b/>
          <w:color w:val="auto"/>
          <w:kern w:val="0"/>
          <w:sz w:val="28"/>
          <w:szCs w:val="28"/>
          <w:highlight w:val="none"/>
        </w:rPr>
        <w:t>28、质疑处理</w:t>
      </w:r>
    </w:p>
    <w:p w14:paraId="02703A78">
      <w:pPr>
        <w:spacing w:line="440" w:lineRule="exact"/>
        <w:ind w:firstLine="480"/>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28.1 提出质疑的投标人应当是参与所质疑项目采购活动的投标人，潜在投标人已依法获取其可质疑的招标文件的，可以对该文件提出质疑。请将</w:t>
      </w:r>
      <w:bookmarkStart w:id="88" w:name="_Hlk98510751"/>
      <w:r>
        <w:rPr>
          <w:rFonts w:hint="eastAsia" w:ascii="宋体" w:hAnsi="宋体" w:eastAsia="宋体" w:cs="宋体"/>
          <w:color w:val="auto"/>
          <w:kern w:val="0"/>
          <w:sz w:val="24"/>
          <w:szCs w:val="24"/>
          <w:highlight w:val="none"/>
        </w:rPr>
        <w:t>获取采购文件后打印留存的《投标供应商确认函》等</w:t>
      </w:r>
      <w:bookmarkEnd w:id="88"/>
      <w:r>
        <w:rPr>
          <w:rFonts w:hint="eastAsia" w:ascii="宋体" w:hAnsi="宋体" w:eastAsia="宋体" w:cs="宋体"/>
          <w:color w:val="auto"/>
          <w:kern w:val="0"/>
          <w:sz w:val="24"/>
          <w:szCs w:val="24"/>
          <w:highlight w:val="none"/>
        </w:rPr>
        <w:t>必要的证明材料与质疑函一起递交，否则不予受理。</w:t>
      </w:r>
    </w:p>
    <w:p w14:paraId="6AAF6629">
      <w:pPr>
        <w:spacing w:line="440" w:lineRule="exact"/>
        <w:ind w:firstLine="480"/>
        <w:rPr>
          <w:rFonts w:hint="eastAsia" w:ascii="宋体" w:hAnsi="宋体" w:eastAsia="宋体" w:cs="宋体"/>
          <w:color w:val="auto"/>
          <w:kern w:val="0"/>
          <w:sz w:val="24"/>
          <w:szCs w:val="24"/>
          <w:highlight w:val="none"/>
        </w:rPr>
      </w:pPr>
      <w:r>
        <w:rPr>
          <w:rFonts w:hint="eastAsia" w:ascii="宋体" w:hAnsi="宋体" w:eastAsia="宋体" w:cs="宋体"/>
          <w:color w:val="auto"/>
          <w:sz w:val="24"/>
          <w:szCs w:val="24"/>
          <w:highlight w:val="none"/>
        </w:rPr>
        <w:t>投标人对采购方式、招标文件中采购需求、投标人资格条件、评标方法和评标标准、合同文本及资格审查结果的询问、质疑请向采购人提出，由采购人负责答复。投标人对其他事项的询问、质疑请向代理机构提出，由代理机构负责答复。</w:t>
      </w:r>
    </w:p>
    <w:p w14:paraId="5206878A">
      <w:pPr>
        <w:spacing w:line="440" w:lineRule="exact"/>
        <w:ind w:firstLine="480"/>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28.2 投标人认为招标文件、采购过程和采购结果使自己的权益受到损害的，可以在知道或应知其权益受到损害之日起七个工作日内，以书面形式向采购人或代理机构提出质疑。上述应知其权益受到损害之日，是指：</w:t>
      </w:r>
    </w:p>
    <w:p w14:paraId="3125C269">
      <w:pPr>
        <w:spacing w:line="440" w:lineRule="exact"/>
        <w:ind w:firstLine="480"/>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（1）对可以质疑的招标文件提出质疑的，为收到招标文件之日或者招标文件公告期限届满之日；</w:t>
      </w:r>
    </w:p>
    <w:p w14:paraId="30916033">
      <w:pPr>
        <w:spacing w:line="440" w:lineRule="exact"/>
        <w:ind w:firstLine="480"/>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（2）对采购过程提出质疑的，为各采购程序环节结束之日；</w:t>
      </w:r>
    </w:p>
    <w:p w14:paraId="369AA722">
      <w:pPr>
        <w:spacing w:line="440" w:lineRule="exact"/>
        <w:ind w:firstLine="480"/>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（3）对中标或者中标结果提出质疑的，为中标或者中标结果公告期限届满之日。</w:t>
      </w:r>
    </w:p>
    <w:p w14:paraId="4BA75606">
      <w:pPr>
        <w:spacing w:line="440" w:lineRule="exact"/>
        <w:ind w:firstLine="480"/>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投标人应当在法定质疑期内一次性提出针对同一采购程序环节的质疑。投标人如在法定期限内对同一采购程序环节提出多次质疑的，代理机构、采购人将只对投标人第一次质疑作出答复。</w:t>
      </w:r>
    </w:p>
    <w:p w14:paraId="57604CF4">
      <w:pPr>
        <w:spacing w:line="440" w:lineRule="exact"/>
        <w:ind w:firstLine="480"/>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28.3 投标人提出质疑应当提交质疑函和必要的证明材料，其中质疑函必须按照《质疑函范本》要求的格式和内容进行填写。投标人如组成联合体参加投标，则《质疑函范本》中要求签字、盖章、加盖公章之处，联合体各方均须按要求签字、盖章、加盖公章。</w:t>
      </w:r>
    </w:p>
    <w:p w14:paraId="0BA14E1A">
      <w:pPr>
        <w:spacing w:line="440" w:lineRule="exact"/>
        <w:ind w:firstLine="480"/>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28.4 代理机构及采购人只接收以纸质原件形式送达（当场送达或邮寄方式）的质疑。</w:t>
      </w:r>
    </w:p>
    <w:p w14:paraId="6121A3C9">
      <w:pPr>
        <w:spacing w:line="440" w:lineRule="exact"/>
        <w:ind w:firstLine="480"/>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代理机构质疑接收部门为：</w:t>
      </w:r>
      <w:r>
        <w:rPr>
          <w:rFonts w:hint="eastAsia" w:ascii="宋体" w:hAnsi="宋体" w:eastAsia="宋体" w:cs="宋体"/>
          <w:color w:val="auto"/>
          <w:kern w:val="0"/>
          <w:sz w:val="24"/>
          <w:szCs w:val="24"/>
          <w:highlight w:val="none"/>
          <w:lang w:eastAsia="zh-CN"/>
        </w:rPr>
        <w:t>苏州信达顺工程建设咨询有限公司</w:t>
      </w:r>
      <w:r>
        <w:rPr>
          <w:rFonts w:hint="eastAsia" w:ascii="宋体" w:hAnsi="宋体" w:eastAsia="宋体" w:cs="宋体"/>
          <w:color w:val="auto"/>
          <w:kern w:val="0"/>
          <w:sz w:val="24"/>
          <w:szCs w:val="24"/>
          <w:highlight w:val="none"/>
        </w:rPr>
        <w:t>，联系地址：常熟市海虞镇河滨路100-5号。</w:t>
      </w:r>
    </w:p>
    <w:p w14:paraId="6F1BCED7">
      <w:pPr>
        <w:spacing w:line="440" w:lineRule="exact"/>
        <w:ind w:firstLine="480"/>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质疑接收人及联系方式见招标文件“第一章 投标邀请”。</w:t>
      </w:r>
    </w:p>
    <w:p w14:paraId="7BBB605C">
      <w:pPr>
        <w:spacing w:line="440" w:lineRule="exact"/>
        <w:ind w:firstLine="480"/>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28.5 以下情形的质疑不予受理</w:t>
      </w:r>
    </w:p>
    <w:p w14:paraId="41EAE83B">
      <w:pPr>
        <w:spacing w:line="440" w:lineRule="exact"/>
        <w:ind w:firstLine="480"/>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（1）内容不符合《政府采购质疑和投诉办法》第十二条规定的质疑。</w:t>
      </w:r>
    </w:p>
    <w:p w14:paraId="4AB06F1E">
      <w:pPr>
        <w:spacing w:line="440" w:lineRule="exact"/>
        <w:ind w:firstLine="480"/>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（2）超出政府采购法定期限的质疑。</w:t>
      </w:r>
    </w:p>
    <w:p w14:paraId="05916CB5">
      <w:pPr>
        <w:spacing w:line="440" w:lineRule="exact"/>
        <w:ind w:firstLine="480"/>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（3）以传真、电子邮件等方式递交的非原件形式的质疑。</w:t>
      </w:r>
    </w:p>
    <w:p w14:paraId="03431725">
      <w:pPr>
        <w:spacing w:line="440" w:lineRule="exact"/>
        <w:ind w:firstLine="480"/>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（4）未参加投标活动的投标人或在投标活动中自身权益未受到损害的投标人所提出的质疑。</w:t>
      </w:r>
    </w:p>
    <w:p w14:paraId="339D9588">
      <w:pPr>
        <w:spacing w:line="440" w:lineRule="exact"/>
        <w:ind w:firstLine="480"/>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（5）如投标人组成联合体参加投标，联合体中任何一方或多方未按要求签字或盖章、加盖公章的质疑。</w:t>
      </w:r>
    </w:p>
    <w:p w14:paraId="0681B3CA">
      <w:pPr>
        <w:spacing w:line="440" w:lineRule="exact"/>
        <w:ind w:firstLine="480"/>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28.6 投标人提出书面质疑必须有理、有据，不得捏造事实、提供虚假材料进行恶意质疑。否则一经查实，代理机构有权依据政府采购的有关规定，报请政府采购监管部门对该投标人进行相应的行政处罚和记录该投标人的失信信息。</w:t>
      </w:r>
    </w:p>
    <w:p w14:paraId="2DBDB87B">
      <w:pPr>
        <w:keepNext/>
        <w:keepLines/>
        <w:spacing w:line="440" w:lineRule="exact"/>
        <w:ind w:firstLine="138" w:firstLineChars="49"/>
        <w:rPr>
          <w:rFonts w:hint="eastAsia" w:ascii="宋体" w:hAnsi="宋体" w:eastAsia="宋体" w:cs="宋体"/>
          <w:b/>
          <w:color w:val="auto"/>
          <w:kern w:val="0"/>
          <w:sz w:val="28"/>
          <w:szCs w:val="28"/>
          <w:highlight w:val="none"/>
        </w:rPr>
      </w:pPr>
      <w:r>
        <w:rPr>
          <w:rFonts w:hint="eastAsia" w:ascii="宋体" w:hAnsi="宋体" w:eastAsia="宋体" w:cs="宋体"/>
          <w:b/>
          <w:color w:val="auto"/>
          <w:kern w:val="0"/>
          <w:sz w:val="28"/>
          <w:szCs w:val="28"/>
          <w:highlight w:val="none"/>
        </w:rPr>
        <w:t>29、中标通知书</w:t>
      </w:r>
    </w:p>
    <w:p w14:paraId="6BD4A3B6">
      <w:pPr>
        <w:spacing w:line="440" w:lineRule="exact"/>
        <w:ind w:firstLine="480"/>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29.1中标结果确定后，代理机构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p>
    <w:p w14:paraId="7F20E865">
      <w:pPr>
        <w:spacing w:line="440" w:lineRule="exact"/>
        <w:ind w:firstLine="480"/>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29.2中标通知书将是合同的一个组成部分。对采购人和中标人均具有法律效力。中标通知书发出后，采购人改变中标结果的，或者中标人放弃中标项目的，应当依法承担法律责任。</w:t>
      </w:r>
    </w:p>
    <w:p w14:paraId="4E1C718F">
      <w:pPr>
        <w:keepNext/>
        <w:keepLines/>
        <w:spacing w:before="152" w:beforeLines="50" w:after="152" w:afterLines="50" w:line="440" w:lineRule="exact"/>
        <w:outlineLvl w:val="1"/>
        <w:rPr>
          <w:rFonts w:hint="eastAsia" w:ascii="宋体" w:hAnsi="宋体" w:eastAsia="宋体" w:cs="宋体"/>
          <w:b/>
          <w:bCs/>
          <w:color w:val="auto"/>
          <w:sz w:val="32"/>
          <w:szCs w:val="32"/>
          <w:highlight w:val="none"/>
        </w:rPr>
      </w:pPr>
      <w:bookmarkStart w:id="89" w:name="_Toc1951"/>
      <w:bookmarkStart w:id="90" w:name="_Toc21840"/>
      <w:bookmarkStart w:id="91" w:name="_Toc17817"/>
      <w:bookmarkStart w:id="92" w:name="_Toc4987"/>
      <w:bookmarkStart w:id="93" w:name="_Toc11451"/>
      <w:bookmarkStart w:id="94" w:name="_Toc31598"/>
      <w:bookmarkStart w:id="95" w:name="_Toc17654"/>
      <w:bookmarkStart w:id="96" w:name="_Toc24233"/>
      <w:bookmarkStart w:id="97" w:name="_Toc22686"/>
      <w:bookmarkStart w:id="98" w:name="_Toc31645"/>
      <w:bookmarkStart w:id="99" w:name="_Toc8381"/>
      <w:r>
        <w:rPr>
          <w:rFonts w:hint="eastAsia" w:ascii="宋体" w:hAnsi="宋体" w:eastAsia="宋体" w:cs="宋体"/>
          <w:b/>
          <w:bCs/>
          <w:color w:val="auto"/>
          <w:sz w:val="32"/>
          <w:szCs w:val="32"/>
          <w:highlight w:val="none"/>
        </w:rPr>
        <w:t>七、授予合同</w:t>
      </w:r>
      <w:bookmarkEnd w:id="89"/>
      <w:bookmarkEnd w:id="90"/>
      <w:bookmarkEnd w:id="91"/>
      <w:bookmarkEnd w:id="92"/>
      <w:bookmarkEnd w:id="93"/>
      <w:bookmarkEnd w:id="94"/>
      <w:bookmarkEnd w:id="95"/>
      <w:bookmarkEnd w:id="96"/>
      <w:bookmarkEnd w:id="97"/>
      <w:bookmarkEnd w:id="98"/>
      <w:bookmarkEnd w:id="99"/>
    </w:p>
    <w:p w14:paraId="6648F285">
      <w:pPr>
        <w:keepNext/>
        <w:keepLines/>
        <w:spacing w:line="440" w:lineRule="exact"/>
        <w:ind w:firstLine="138" w:firstLineChars="49"/>
        <w:rPr>
          <w:rFonts w:hint="eastAsia" w:ascii="宋体" w:hAnsi="宋体" w:eastAsia="宋体" w:cs="宋体"/>
          <w:b/>
          <w:color w:val="auto"/>
          <w:kern w:val="0"/>
          <w:sz w:val="28"/>
          <w:szCs w:val="28"/>
          <w:highlight w:val="none"/>
        </w:rPr>
      </w:pPr>
      <w:r>
        <w:rPr>
          <w:rFonts w:hint="eastAsia" w:ascii="宋体" w:hAnsi="宋体" w:eastAsia="宋体" w:cs="宋体"/>
          <w:b/>
          <w:color w:val="auto"/>
          <w:kern w:val="0"/>
          <w:sz w:val="28"/>
          <w:szCs w:val="28"/>
          <w:highlight w:val="none"/>
        </w:rPr>
        <w:t>30、签订合同</w:t>
      </w:r>
    </w:p>
    <w:p w14:paraId="073E17D7">
      <w:pPr>
        <w:spacing w:line="440" w:lineRule="exact"/>
        <w:ind w:firstLine="480"/>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30.l中标人应当在中标通知书发出之日起三十日内，按照招标文件确定的事项与采购人签订政府采购合同。</w:t>
      </w:r>
    </w:p>
    <w:p w14:paraId="4B4DD6DF">
      <w:pPr>
        <w:spacing w:line="440" w:lineRule="exact"/>
        <w:ind w:firstLine="480"/>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30.2招标文件、中标人的投标文件及投标过程中有关澄清、承诺文件均应作为合同附件。</w:t>
      </w:r>
    </w:p>
    <w:p w14:paraId="3D9792C3">
      <w:pPr>
        <w:spacing w:line="440" w:lineRule="exact"/>
        <w:ind w:firstLine="480"/>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30.3签订合同后，中标人不得将合同标的进行转包。未经采购人同意，中标人也不得采用分包的形式履行合同，否则采购人有权终止合同。转包或分包造成采购人损失的，中标人应承担相应赔偿责任。</w:t>
      </w:r>
    </w:p>
    <w:p w14:paraId="39220630">
      <w:pPr>
        <w:keepNext/>
        <w:keepLines/>
        <w:spacing w:line="440" w:lineRule="exact"/>
        <w:ind w:firstLine="138" w:firstLineChars="49"/>
        <w:rPr>
          <w:rFonts w:hint="eastAsia" w:ascii="宋体" w:hAnsi="宋体" w:eastAsia="宋体" w:cs="宋体"/>
          <w:b/>
          <w:color w:val="auto"/>
          <w:kern w:val="0"/>
          <w:sz w:val="28"/>
          <w:szCs w:val="28"/>
          <w:highlight w:val="none"/>
        </w:rPr>
      </w:pPr>
      <w:r>
        <w:rPr>
          <w:rFonts w:hint="eastAsia" w:ascii="宋体" w:hAnsi="宋体" w:eastAsia="宋体" w:cs="宋体"/>
          <w:b/>
          <w:color w:val="auto"/>
          <w:kern w:val="0"/>
          <w:sz w:val="28"/>
          <w:szCs w:val="28"/>
          <w:highlight w:val="none"/>
        </w:rPr>
        <w:t>31、标的物的追加</w:t>
      </w:r>
    </w:p>
    <w:p w14:paraId="387770CE">
      <w:pPr>
        <w:spacing w:line="440" w:lineRule="exact"/>
        <w:ind w:firstLine="480"/>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31.1政府采购合同履行中，采购人需追加与合同标的相同的货物、服务（包含与货物相关的服务及与服务相关的货物）的，在不改变合同其他条款的前提下，可以与中标人协商签订补充合同，但所有补充合同的采购金额不超过原合同金额10%。</w:t>
      </w:r>
    </w:p>
    <w:p w14:paraId="58DFF6D2">
      <w:pPr>
        <w:keepNext/>
        <w:keepLines/>
        <w:spacing w:line="440" w:lineRule="exact"/>
        <w:ind w:firstLine="138" w:firstLineChars="49"/>
        <w:rPr>
          <w:rFonts w:hint="eastAsia" w:ascii="宋体" w:hAnsi="宋体" w:eastAsia="宋体" w:cs="宋体"/>
          <w:b/>
          <w:color w:val="auto"/>
          <w:kern w:val="0"/>
          <w:sz w:val="28"/>
          <w:szCs w:val="28"/>
          <w:highlight w:val="none"/>
        </w:rPr>
      </w:pPr>
      <w:r>
        <w:rPr>
          <w:rFonts w:hint="eastAsia" w:ascii="宋体" w:hAnsi="宋体" w:eastAsia="宋体" w:cs="宋体"/>
          <w:b/>
          <w:color w:val="auto"/>
          <w:kern w:val="0"/>
          <w:sz w:val="28"/>
          <w:szCs w:val="28"/>
          <w:highlight w:val="none"/>
        </w:rPr>
        <w:t>32、政府采购履约资金扶持政策</w:t>
      </w:r>
    </w:p>
    <w:p w14:paraId="06DA2FD0">
      <w:pPr>
        <w:tabs>
          <w:tab w:val="left" w:pos="200"/>
        </w:tabs>
        <w:spacing w:line="440" w:lineRule="exact"/>
        <w:ind w:firstLine="480" w:firstLineChars="200"/>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中标人可凭政府采购合同办理融资贷款，详情请见苏州市政府采购网“政府采购合同信用融资”专栏。</w:t>
      </w:r>
    </w:p>
    <w:p w14:paraId="01C6360E">
      <w:pPr>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highlight w:val="none"/>
        </w:rPr>
        <w:br w:type="page"/>
      </w:r>
    </w:p>
    <w:p w14:paraId="5437CDAA">
      <w:pPr>
        <w:pStyle w:val="2"/>
        <w:rPr>
          <w:rFonts w:hint="eastAsia" w:ascii="宋体" w:hAnsi="宋体" w:eastAsia="宋体" w:cs="宋体"/>
          <w:color w:val="auto"/>
          <w:highlight w:val="none"/>
        </w:rPr>
      </w:pPr>
      <w:bookmarkStart w:id="100" w:name="_Toc9908"/>
      <w:bookmarkStart w:id="101" w:name="_Toc30934"/>
      <w:bookmarkStart w:id="102" w:name="_Toc315868058"/>
      <w:bookmarkStart w:id="103" w:name="_Toc158691774"/>
      <w:bookmarkStart w:id="104" w:name="_Toc315875321"/>
      <w:r>
        <w:rPr>
          <w:rFonts w:hint="eastAsia" w:ascii="宋体" w:hAnsi="宋体" w:eastAsia="宋体" w:cs="宋体"/>
          <w:color w:val="auto"/>
          <w:highlight w:val="none"/>
        </w:rPr>
        <w:t>第三章 合同</w:t>
      </w:r>
      <w:bookmarkEnd w:id="100"/>
      <w:r>
        <w:rPr>
          <w:rFonts w:hint="eastAsia" w:ascii="宋体" w:hAnsi="宋体" w:eastAsia="宋体" w:cs="宋体"/>
          <w:color w:val="auto"/>
          <w:highlight w:val="none"/>
        </w:rPr>
        <w:t>文本</w:t>
      </w:r>
      <w:bookmarkEnd w:id="101"/>
    </w:p>
    <w:p w14:paraId="62C98FE4">
      <w:pPr>
        <w:spacing w:before="305" w:beforeLines="100"/>
        <w:ind w:right="105" w:rightChars="50" w:firstLine="6720" w:firstLineChars="2800"/>
        <w:rPr>
          <w:rFonts w:hint="eastAsia" w:ascii="宋体" w:hAnsi="宋体" w:eastAsia="宋体" w:cs="宋体"/>
          <w:b/>
          <w:bCs/>
          <w:color w:val="auto"/>
          <w:kern w:val="0"/>
          <w:sz w:val="72"/>
          <w:szCs w:val="72"/>
          <w:highlight w:val="none"/>
        </w:rPr>
      </w:pPr>
      <w:r>
        <w:rPr>
          <w:rFonts w:hint="eastAsia" w:ascii="宋体" w:hAnsi="宋体" w:eastAsia="宋体" w:cs="宋体"/>
          <w:color w:val="auto"/>
          <w:sz w:val="24"/>
          <w:szCs w:val="24"/>
          <w:highlight w:val="none"/>
        </w:rPr>
        <w:t>合同编号：</w:t>
      </w:r>
    </w:p>
    <w:p w14:paraId="16E92AC6">
      <w:pPr>
        <w:spacing w:before="305" w:beforeLines="100"/>
        <w:ind w:right="105" w:rightChars="50" w:firstLine="2530" w:firstLineChars="350"/>
        <w:rPr>
          <w:rFonts w:hint="eastAsia" w:ascii="宋体" w:hAnsi="宋体" w:eastAsia="宋体" w:cs="宋体"/>
          <w:b/>
          <w:bCs/>
          <w:color w:val="auto"/>
          <w:kern w:val="0"/>
          <w:sz w:val="72"/>
          <w:szCs w:val="72"/>
          <w:highlight w:val="none"/>
        </w:rPr>
      </w:pPr>
    </w:p>
    <w:p w14:paraId="29A8DA3D">
      <w:pPr>
        <w:spacing w:before="305" w:beforeLines="100"/>
        <w:ind w:right="105" w:rightChars="50" w:firstLine="2530" w:firstLineChars="350"/>
        <w:rPr>
          <w:rFonts w:hint="eastAsia" w:ascii="宋体" w:hAnsi="宋体" w:eastAsia="宋体" w:cs="宋体"/>
          <w:b/>
          <w:bCs/>
          <w:color w:val="auto"/>
          <w:kern w:val="0"/>
          <w:sz w:val="72"/>
          <w:szCs w:val="72"/>
          <w:highlight w:val="none"/>
        </w:rPr>
      </w:pPr>
      <w:r>
        <w:rPr>
          <w:rFonts w:hint="eastAsia" w:ascii="宋体" w:hAnsi="宋体" w:eastAsia="宋体" w:cs="宋体"/>
          <w:b/>
          <w:bCs/>
          <w:color w:val="auto"/>
          <w:kern w:val="0"/>
          <w:sz w:val="72"/>
          <w:szCs w:val="72"/>
          <w:highlight w:val="none"/>
        </w:rPr>
        <w:t>政府采购合同</w:t>
      </w:r>
    </w:p>
    <w:p w14:paraId="369332DD">
      <w:pPr>
        <w:spacing w:line="420" w:lineRule="exact"/>
        <w:ind w:firstLine="1807" w:firstLineChars="250"/>
        <w:rPr>
          <w:rFonts w:hint="eastAsia" w:ascii="宋体" w:hAnsi="宋体" w:eastAsia="宋体" w:cs="宋体"/>
          <w:b/>
          <w:bCs/>
          <w:color w:val="auto"/>
          <w:kern w:val="0"/>
          <w:sz w:val="72"/>
          <w:szCs w:val="72"/>
          <w:highlight w:val="none"/>
        </w:rPr>
      </w:pPr>
    </w:p>
    <w:p w14:paraId="3D205243">
      <w:pPr>
        <w:spacing w:line="420" w:lineRule="exact"/>
        <w:ind w:firstLine="1807" w:firstLineChars="250"/>
        <w:rPr>
          <w:rFonts w:hint="eastAsia" w:ascii="宋体" w:hAnsi="宋体" w:eastAsia="宋体" w:cs="宋体"/>
          <w:b/>
          <w:bCs/>
          <w:color w:val="auto"/>
          <w:kern w:val="0"/>
          <w:sz w:val="72"/>
          <w:szCs w:val="72"/>
          <w:highlight w:val="none"/>
        </w:rPr>
      </w:pPr>
    </w:p>
    <w:p w14:paraId="2CC2930F">
      <w:pPr>
        <w:autoSpaceDE w:val="0"/>
        <w:autoSpaceDN w:val="0"/>
        <w:adjustRightInd w:val="0"/>
        <w:spacing w:line="480" w:lineRule="exact"/>
        <w:ind w:firstLine="200"/>
        <w:jc w:val="center"/>
        <w:rPr>
          <w:rFonts w:hint="eastAsia" w:ascii="宋体" w:hAnsi="宋体" w:eastAsia="宋体" w:cs="宋体"/>
          <w:b/>
          <w:color w:val="auto"/>
          <w:kern w:val="0"/>
          <w:sz w:val="28"/>
          <w:szCs w:val="28"/>
          <w:highlight w:val="none"/>
        </w:rPr>
      </w:pPr>
      <w:r>
        <w:rPr>
          <w:rFonts w:hint="eastAsia" w:ascii="宋体" w:hAnsi="宋体" w:eastAsia="宋体" w:cs="宋体"/>
          <w:b/>
          <w:color w:val="auto"/>
          <w:kern w:val="0"/>
          <w:sz w:val="28"/>
          <w:szCs w:val="28"/>
          <w:highlight w:val="none"/>
        </w:rPr>
        <w:t>第一部分 合同书</w:t>
      </w:r>
    </w:p>
    <w:p w14:paraId="491EFD18">
      <w:pPr>
        <w:widowControl/>
        <w:spacing w:before="120" w:after="160" w:line="22" w:lineRule="atLeast"/>
        <w:rPr>
          <w:rFonts w:hint="eastAsia" w:ascii="宋体" w:hAnsi="宋体" w:eastAsia="宋体" w:cs="宋体"/>
          <w:bCs/>
          <w:color w:val="auto"/>
          <w:kern w:val="0"/>
          <w:sz w:val="24"/>
          <w:szCs w:val="24"/>
          <w:highlight w:val="none"/>
        </w:rPr>
      </w:pPr>
    </w:p>
    <w:p w14:paraId="5E47828B">
      <w:pPr>
        <w:widowControl/>
        <w:spacing w:before="120" w:after="160" w:line="22" w:lineRule="atLeast"/>
        <w:jc w:val="center"/>
        <w:rPr>
          <w:rFonts w:hint="eastAsia" w:ascii="宋体" w:hAnsi="宋体" w:eastAsia="宋体" w:cs="宋体"/>
          <w:b/>
          <w:bCs/>
          <w:color w:val="auto"/>
          <w:kern w:val="0"/>
          <w:sz w:val="36"/>
          <w:szCs w:val="36"/>
          <w:highlight w:val="none"/>
          <w:u w:val="single"/>
          <w:lang w:eastAsia="zh-CN"/>
        </w:rPr>
      </w:pPr>
      <w:r>
        <w:rPr>
          <w:rFonts w:hint="eastAsia" w:ascii="宋体" w:hAnsi="宋体" w:eastAsia="宋体" w:cs="宋体"/>
          <w:b/>
          <w:bCs/>
          <w:color w:val="auto"/>
          <w:spacing w:val="-6"/>
          <w:kern w:val="0"/>
          <w:sz w:val="36"/>
          <w:szCs w:val="36"/>
          <w:highlight w:val="none"/>
        </w:rPr>
        <w:t>项目名称：</w:t>
      </w:r>
      <w:r>
        <w:rPr>
          <w:rFonts w:hint="eastAsia" w:ascii="宋体" w:hAnsi="宋体" w:eastAsia="宋体" w:cs="宋体"/>
          <w:color w:val="auto"/>
          <w:spacing w:val="-6"/>
          <w:sz w:val="36"/>
          <w:szCs w:val="36"/>
          <w:highlight w:val="none"/>
          <w:u w:val="single"/>
          <w:lang w:eastAsia="zh-CN"/>
        </w:rPr>
        <w:t>常熟市梅李人民医院食堂供餐配送服务</w:t>
      </w:r>
    </w:p>
    <w:p w14:paraId="771F2313">
      <w:pPr>
        <w:widowControl/>
        <w:spacing w:before="120" w:after="160" w:line="22" w:lineRule="atLeast"/>
        <w:ind w:firstLine="1807" w:firstLineChars="500"/>
        <w:rPr>
          <w:rFonts w:hint="eastAsia" w:ascii="宋体" w:hAnsi="宋体" w:eastAsia="宋体" w:cs="宋体"/>
          <w:b/>
          <w:bCs/>
          <w:color w:val="auto"/>
          <w:kern w:val="0"/>
          <w:sz w:val="36"/>
          <w:szCs w:val="36"/>
          <w:highlight w:val="none"/>
          <w:lang w:eastAsia="zh-CN"/>
        </w:rPr>
      </w:pPr>
      <w:r>
        <w:rPr>
          <w:rFonts w:hint="eastAsia" w:ascii="宋体" w:hAnsi="宋体" w:eastAsia="宋体" w:cs="宋体"/>
          <w:b/>
          <w:bCs/>
          <w:color w:val="auto"/>
          <w:kern w:val="0"/>
          <w:sz w:val="36"/>
          <w:szCs w:val="36"/>
          <w:highlight w:val="none"/>
        </w:rPr>
        <w:t>项目编号：</w:t>
      </w:r>
      <w:r>
        <w:rPr>
          <w:rFonts w:hint="eastAsia" w:ascii="宋体" w:hAnsi="宋体" w:cs="宋体"/>
          <w:color w:val="auto"/>
          <w:sz w:val="36"/>
          <w:szCs w:val="36"/>
          <w:highlight w:val="none"/>
          <w:u w:val="single"/>
          <w:lang w:eastAsia="zh-CN"/>
        </w:rPr>
        <w:t>JSZC-320581-SZDS-G2026-0003</w:t>
      </w:r>
    </w:p>
    <w:p w14:paraId="4F16CBFB">
      <w:pPr>
        <w:spacing w:line="420" w:lineRule="exact"/>
        <w:ind w:firstLine="1807" w:firstLineChars="250"/>
        <w:rPr>
          <w:rFonts w:hint="eastAsia" w:ascii="宋体" w:hAnsi="宋体" w:eastAsia="宋体" w:cs="宋体"/>
          <w:b/>
          <w:bCs/>
          <w:color w:val="auto"/>
          <w:kern w:val="0"/>
          <w:sz w:val="72"/>
          <w:szCs w:val="72"/>
          <w:highlight w:val="none"/>
        </w:rPr>
      </w:pPr>
    </w:p>
    <w:p w14:paraId="7B8449F4">
      <w:pPr>
        <w:spacing w:before="120" w:line="22" w:lineRule="atLeast"/>
        <w:ind w:left="960" w:firstLine="840" w:firstLineChars="350"/>
        <w:rPr>
          <w:rFonts w:hint="eastAsia" w:ascii="宋体" w:hAnsi="宋体" w:eastAsia="宋体" w:cs="宋体"/>
          <w:bCs/>
          <w:color w:val="auto"/>
          <w:sz w:val="24"/>
          <w:szCs w:val="24"/>
          <w:highlight w:val="none"/>
          <w:u w:val="single"/>
        </w:rPr>
      </w:pPr>
      <w:r>
        <w:rPr>
          <w:rFonts w:hint="eastAsia" w:ascii="宋体" w:hAnsi="宋体" w:eastAsia="宋体" w:cs="宋体"/>
          <w:bCs/>
          <w:color w:val="auto"/>
          <w:sz w:val="24"/>
          <w:szCs w:val="24"/>
          <w:highlight w:val="none"/>
        </w:rPr>
        <w:t>甲方（采  购  人）：</w:t>
      </w:r>
      <w:r>
        <w:rPr>
          <w:rFonts w:hint="eastAsia" w:ascii="宋体" w:hAnsi="宋体" w:eastAsia="宋体" w:cs="宋体"/>
          <w:bCs/>
          <w:color w:val="auto"/>
          <w:sz w:val="24"/>
          <w:szCs w:val="24"/>
          <w:highlight w:val="none"/>
          <w:u w:val="single"/>
        </w:rPr>
        <w:t xml:space="preserve">                                   </w:t>
      </w:r>
    </w:p>
    <w:p w14:paraId="70A72BB8">
      <w:pPr>
        <w:spacing w:before="120" w:line="22" w:lineRule="atLeast"/>
        <w:ind w:left="960" w:firstLine="840" w:firstLineChars="350"/>
        <w:rPr>
          <w:rFonts w:hint="eastAsia" w:ascii="宋体" w:hAnsi="宋体" w:eastAsia="宋体" w:cs="宋体"/>
          <w:bCs/>
          <w:color w:val="auto"/>
          <w:sz w:val="24"/>
          <w:szCs w:val="24"/>
          <w:highlight w:val="none"/>
          <w:u w:val="single"/>
        </w:rPr>
      </w:pPr>
      <w:r>
        <w:rPr>
          <w:rFonts w:hint="eastAsia" w:ascii="宋体" w:hAnsi="宋体" w:eastAsia="宋体" w:cs="宋体"/>
          <w:bCs/>
          <w:color w:val="auto"/>
          <w:sz w:val="24"/>
          <w:szCs w:val="24"/>
          <w:highlight w:val="none"/>
        </w:rPr>
        <w:t>乙方（中  标  人）：</w:t>
      </w:r>
      <w:r>
        <w:rPr>
          <w:rFonts w:hint="eastAsia" w:ascii="宋体" w:hAnsi="宋体" w:eastAsia="宋体" w:cs="宋体"/>
          <w:bCs/>
          <w:color w:val="auto"/>
          <w:sz w:val="24"/>
          <w:szCs w:val="24"/>
          <w:highlight w:val="none"/>
          <w:u w:val="single"/>
        </w:rPr>
        <w:t xml:space="preserve">                                   </w:t>
      </w:r>
    </w:p>
    <w:p w14:paraId="4B68AEF0">
      <w:pPr>
        <w:spacing w:before="120" w:line="22" w:lineRule="atLeast"/>
        <w:ind w:left="960" w:firstLine="840" w:firstLineChars="350"/>
        <w:rPr>
          <w:rFonts w:hint="eastAsia" w:ascii="宋体" w:hAnsi="宋体" w:eastAsia="宋体" w:cs="宋体"/>
          <w:bCs/>
          <w:color w:val="auto"/>
          <w:sz w:val="24"/>
          <w:szCs w:val="24"/>
          <w:highlight w:val="none"/>
          <w:u w:val="single"/>
        </w:rPr>
      </w:pPr>
      <w:r>
        <w:rPr>
          <w:rFonts w:hint="eastAsia" w:ascii="宋体" w:hAnsi="宋体" w:eastAsia="宋体" w:cs="宋体"/>
          <w:bCs/>
          <w:color w:val="auto"/>
          <w:sz w:val="24"/>
          <w:szCs w:val="24"/>
          <w:highlight w:val="none"/>
        </w:rPr>
        <w:t>信用融资回款账户：</w:t>
      </w:r>
      <w:r>
        <w:rPr>
          <w:rFonts w:hint="eastAsia" w:ascii="宋体" w:hAnsi="宋体" w:eastAsia="宋体" w:cs="宋体"/>
          <w:bCs/>
          <w:color w:val="auto"/>
          <w:sz w:val="24"/>
          <w:szCs w:val="24"/>
          <w:highlight w:val="none"/>
          <w:u w:val="single"/>
        </w:rPr>
        <w:t xml:space="preserve">                                   </w:t>
      </w:r>
    </w:p>
    <w:p w14:paraId="0879CEC1">
      <w:pPr>
        <w:spacing w:before="120" w:line="22" w:lineRule="atLeast"/>
        <w:ind w:left="960" w:firstLine="840" w:firstLineChars="35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开户银行：</w:t>
      </w:r>
      <w:r>
        <w:rPr>
          <w:rFonts w:hint="eastAsia" w:ascii="宋体" w:hAnsi="宋体" w:eastAsia="宋体" w:cs="宋体"/>
          <w:bCs/>
          <w:color w:val="auto"/>
          <w:sz w:val="24"/>
          <w:szCs w:val="24"/>
          <w:highlight w:val="none"/>
          <w:u w:val="single"/>
        </w:rPr>
        <w:t xml:space="preserve">                                   </w:t>
      </w:r>
    </w:p>
    <w:p w14:paraId="03C1C32C">
      <w:pPr>
        <w:spacing w:before="120" w:line="22" w:lineRule="atLeast"/>
        <w:ind w:firstLine="1800" w:firstLineChars="750"/>
        <w:rPr>
          <w:rFonts w:hint="eastAsia" w:ascii="宋体" w:hAnsi="宋体" w:eastAsia="宋体" w:cs="宋体"/>
          <w:bCs/>
          <w:color w:val="auto"/>
          <w:sz w:val="24"/>
          <w:szCs w:val="24"/>
          <w:highlight w:val="none"/>
          <w:u w:val="single"/>
        </w:rPr>
      </w:pPr>
      <w:r>
        <w:rPr>
          <w:rFonts w:hint="eastAsia" w:ascii="宋体" w:hAnsi="宋体" w:eastAsia="宋体" w:cs="宋体"/>
          <w:bCs/>
          <w:color w:val="auto"/>
          <w:sz w:val="24"/>
          <w:szCs w:val="24"/>
          <w:highlight w:val="none"/>
        </w:rPr>
        <w:t>签 订 地：</w:t>
      </w:r>
      <w:r>
        <w:rPr>
          <w:rFonts w:hint="eastAsia" w:ascii="宋体" w:hAnsi="宋体" w:eastAsia="宋体" w:cs="宋体"/>
          <w:bCs/>
          <w:color w:val="auto"/>
          <w:sz w:val="24"/>
          <w:szCs w:val="24"/>
          <w:highlight w:val="none"/>
          <w:u w:val="single"/>
        </w:rPr>
        <w:t xml:space="preserve">            常熟市                </w:t>
      </w:r>
    </w:p>
    <w:p w14:paraId="409454FC">
      <w:pPr>
        <w:spacing w:before="120" w:line="22" w:lineRule="atLeast"/>
        <w:ind w:firstLine="1800" w:firstLineChars="750"/>
        <w:rPr>
          <w:rFonts w:hint="eastAsia" w:ascii="宋体" w:hAnsi="宋体" w:eastAsia="宋体" w:cs="宋体"/>
          <w:bCs/>
          <w:color w:val="auto"/>
          <w:sz w:val="24"/>
          <w:szCs w:val="24"/>
          <w:highlight w:val="none"/>
          <w:u w:val="single"/>
        </w:rPr>
      </w:pPr>
      <w:r>
        <w:rPr>
          <w:rFonts w:hint="eastAsia" w:ascii="宋体" w:hAnsi="宋体" w:eastAsia="宋体" w:cs="宋体"/>
          <w:color w:val="auto"/>
          <w:sz w:val="24"/>
          <w:szCs w:val="24"/>
          <w:highlight w:val="none"/>
        </w:rPr>
        <w:t>签订日期：</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年</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月</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日</w:t>
      </w:r>
    </w:p>
    <w:p w14:paraId="5F525EE7">
      <w:pPr>
        <w:spacing w:line="440" w:lineRule="exact"/>
        <w:ind w:firstLine="480" w:firstLineChars="200"/>
        <w:rPr>
          <w:rFonts w:hint="eastAsia" w:ascii="宋体" w:hAnsi="宋体" w:eastAsia="宋体" w:cs="宋体"/>
          <w:color w:val="auto"/>
          <w:sz w:val="24"/>
          <w:szCs w:val="24"/>
          <w:highlight w:val="none"/>
          <w:u w:val="single"/>
          <w:lang w:val="zh-CN"/>
        </w:rPr>
      </w:pPr>
    </w:p>
    <w:p w14:paraId="7D167B8D">
      <w:pPr>
        <w:keepNext w:val="0"/>
        <w:keepLines w:val="0"/>
        <w:pageBreakBefore w:val="0"/>
        <w:kinsoku/>
        <w:wordWrap/>
        <w:overflowPunct/>
        <w:topLinePunct w:val="0"/>
        <w:bidi w:val="0"/>
        <w:snapToGrid/>
        <w:spacing w:line="46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lang w:val="zh-CN"/>
        </w:rPr>
        <w:br w:type="page"/>
      </w:r>
      <w:r>
        <w:rPr>
          <w:rFonts w:hint="eastAsia" w:ascii="宋体" w:hAnsi="宋体" w:eastAsia="宋体" w:cs="宋体"/>
          <w:color w:val="auto"/>
          <w:sz w:val="24"/>
          <w:szCs w:val="24"/>
          <w:highlight w:val="none"/>
          <w:u w:val="single"/>
          <w:lang w:val="zh-CN"/>
        </w:rPr>
        <w:t xml:space="preserve">        </w:t>
      </w:r>
      <w:r>
        <w:rPr>
          <w:rFonts w:hint="eastAsia" w:ascii="宋体" w:hAnsi="宋体" w:eastAsia="宋体" w:cs="宋体"/>
          <w:color w:val="auto"/>
          <w:sz w:val="24"/>
          <w:szCs w:val="24"/>
          <w:highlight w:val="none"/>
          <w:lang w:val="zh-CN"/>
        </w:rPr>
        <w:t>年</w:t>
      </w:r>
      <w:r>
        <w:rPr>
          <w:rFonts w:hint="eastAsia" w:ascii="宋体" w:hAnsi="宋体" w:eastAsia="宋体" w:cs="宋体"/>
          <w:color w:val="auto"/>
          <w:sz w:val="24"/>
          <w:szCs w:val="24"/>
          <w:highlight w:val="none"/>
          <w:u w:val="single"/>
          <w:lang w:val="zh-CN"/>
        </w:rPr>
        <w:t xml:space="preserve">    </w:t>
      </w:r>
      <w:r>
        <w:rPr>
          <w:rFonts w:hint="eastAsia" w:ascii="宋体" w:hAnsi="宋体" w:eastAsia="宋体" w:cs="宋体"/>
          <w:color w:val="auto"/>
          <w:sz w:val="24"/>
          <w:szCs w:val="24"/>
          <w:highlight w:val="none"/>
          <w:lang w:val="zh-CN"/>
        </w:rPr>
        <w:t>月</w:t>
      </w:r>
      <w:r>
        <w:rPr>
          <w:rFonts w:hint="eastAsia" w:ascii="宋体" w:hAnsi="宋体" w:eastAsia="宋体" w:cs="宋体"/>
          <w:color w:val="auto"/>
          <w:sz w:val="24"/>
          <w:szCs w:val="24"/>
          <w:highlight w:val="none"/>
          <w:u w:val="single"/>
          <w:lang w:val="zh-CN"/>
        </w:rPr>
        <w:t xml:space="preserve">    </w:t>
      </w:r>
      <w:r>
        <w:rPr>
          <w:rFonts w:hint="eastAsia" w:ascii="宋体" w:hAnsi="宋体" w:eastAsia="宋体" w:cs="宋体"/>
          <w:color w:val="auto"/>
          <w:sz w:val="24"/>
          <w:szCs w:val="24"/>
          <w:highlight w:val="none"/>
          <w:lang w:val="zh-CN"/>
        </w:rPr>
        <w:t>日</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u w:val="single"/>
        </w:rPr>
        <w:t xml:space="preserve">   （采购人名称）   </w:t>
      </w:r>
      <w:r>
        <w:rPr>
          <w:rFonts w:hint="eastAsia" w:ascii="宋体" w:hAnsi="宋体" w:eastAsia="宋体" w:cs="宋体"/>
          <w:color w:val="auto"/>
          <w:sz w:val="24"/>
          <w:szCs w:val="24"/>
          <w:highlight w:val="none"/>
        </w:rPr>
        <w:t>以</w:t>
      </w:r>
      <w:r>
        <w:rPr>
          <w:rFonts w:hint="eastAsia" w:ascii="宋体" w:hAnsi="宋体" w:eastAsia="宋体" w:cs="宋体"/>
          <w:color w:val="auto"/>
          <w:sz w:val="24"/>
          <w:szCs w:val="24"/>
          <w:highlight w:val="none"/>
          <w:u w:val="single"/>
        </w:rPr>
        <w:t xml:space="preserve"> </w:t>
      </w:r>
      <w:r>
        <w:rPr>
          <w:rFonts w:hint="eastAsia" w:ascii="宋体" w:hAnsi="宋体" w:eastAsia="宋体" w:cs="宋体"/>
          <w:b/>
          <w:bCs/>
          <w:color w:val="auto"/>
          <w:sz w:val="24"/>
          <w:szCs w:val="24"/>
          <w:highlight w:val="none"/>
          <w:u w:val="single"/>
        </w:rPr>
        <w:t>公开招标</w:t>
      </w:r>
      <w:r>
        <w:rPr>
          <w:rFonts w:hint="eastAsia" w:ascii="宋体" w:hAnsi="宋体" w:eastAsia="宋体" w:cs="宋体"/>
          <w:color w:val="auto"/>
          <w:sz w:val="24"/>
          <w:szCs w:val="24"/>
          <w:highlight w:val="none"/>
        </w:rPr>
        <w:t xml:space="preserve"> 对</w:t>
      </w:r>
      <w:r>
        <w:rPr>
          <w:rFonts w:hint="eastAsia" w:ascii="宋体" w:hAnsi="宋体" w:eastAsia="宋体" w:cs="宋体"/>
          <w:color w:val="auto"/>
          <w:sz w:val="24"/>
          <w:szCs w:val="24"/>
          <w:highlight w:val="none"/>
          <w:u w:val="single"/>
        </w:rPr>
        <w:t xml:space="preserve">   （同前页项目名称）   </w:t>
      </w:r>
      <w:r>
        <w:rPr>
          <w:rFonts w:hint="eastAsia" w:ascii="宋体" w:hAnsi="宋体" w:eastAsia="宋体" w:cs="宋体"/>
          <w:color w:val="auto"/>
          <w:sz w:val="24"/>
          <w:szCs w:val="24"/>
          <w:highlight w:val="none"/>
        </w:rPr>
        <w:t>项目进行了采购。经</w:t>
      </w:r>
      <w:r>
        <w:rPr>
          <w:rFonts w:hint="eastAsia" w:ascii="宋体" w:hAnsi="宋体" w:eastAsia="宋体" w:cs="宋体"/>
          <w:color w:val="auto"/>
          <w:sz w:val="24"/>
          <w:szCs w:val="24"/>
          <w:highlight w:val="none"/>
          <w:u w:val="single"/>
        </w:rPr>
        <w:t>评标委员会</w:t>
      </w:r>
      <w:r>
        <w:rPr>
          <w:rFonts w:hint="eastAsia" w:ascii="宋体" w:hAnsi="宋体" w:eastAsia="宋体" w:cs="宋体"/>
          <w:color w:val="auto"/>
          <w:sz w:val="24"/>
          <w:szCs w:val="24"/>
          <w:highlight w:val="none"/>
        </w:rPr>
        <w:t>评定，</w:t>
      </w:r>
      <w:r>
        <w:rPr>
          <w:rFonts w:hint="eastAsia" w:ascii="宋体" w:hAnsi="宋体" w:eastAsia="宋体" w:cs="宋体"/>
          <w:color w:val="auto"/>
          <w:sz w:val="24"/>
          <w:szCs w:val="24"/>
          <w:highlight w:val="none"/>
          <w:u w:val="single"/>
        </w:rPr>
        <w:t xml:space="preserve">   （中标人名称） </w:t>
      </w:r>
      <w:r>
        <w:rPr>
          <w:rFonts w:hint="eastAsia" w:ascii="宋体" w:hAnsi="宋体" w:eastAsia="宋体" w:cs="宋体"/>
          <w:color w:val="auto"/>
          <w:sz w:val="24"/>
          <w:szCs w:val="24"/>
          <w:highlight w:val="none"/>
        </w:rPr>
        <w:t>为该项目中标人。现于中标通知书发出之日起三十日内，按照采购文件确定的事项签订本合同。</w:t>
      </w:r>
    </w:p>
    <w:p w14:paraId="0FC072F9">
      <w:pPr>
        <w:keepNext w:val="0"/>
        <w:keepLines w:val="0"/>
        <w:pageBreakBefore w:val="0"/>
        <w:kinsoku/>
        <w:wordWrap/>
        <w:overflowPunct/>
        <w:topLinePunct w:val="0"/>
        <w:bidi w:val="0"/>
        <w:snapToGrid/>
        <w:spacing w:line="460" w:lineRule="exact"/>
        <w:ind w:firstLine="480" w:firstLineChars="200"/>
        <w:rPr>
          <w:rFonts w:hint="eastAsia" w:ascii="宋体" w:hAnsi="宋体" w:eastAsia="宋体" w:cs="宋体"/>
          <w:color w:val="auto"/>
          <w:sz w:val="24"/>
          <w:szCs w:val="24"/>
          <w:highlight w:val="none"/>
        </w:rPr>
      </w:pPr>
      <w:bookmarkStart w:id="105" w:name="_Hlk63008672"/>
      <w:bookmarkStart w:id="106" w:name="_Hlk63008690"/>
      <w:r>
        <w:rPr>
          <w:rFonts w:hint="eastAsia" w:ascii="宋体" w:hAnsi="宋体" w:eastAsia="宋体" w:cs="宋体"/>
          <w:color w:val="auto"/>
          <w:sz w:val="24"/>
          <w:szCs w:val="24"/>
          <w:highlight w:val="none"/>
        </w:rPr>
        <w:t>根据《中华人民共和国政府采购法》及其实施条例、《中华人民共和国民法典》</w:t>
      </w:r>
      <w:bookmarkEnd w:id="105"/>
      <w:r>
        <w:rPr>
          <w:rFonts w:hint="eastAsia" w:ascii="宋体" w:hAnsi="宋体" w:eastAsia="宋体" w:cs="宋体"/>
          <w:color w:val="auto"/>
          <w:sz w:val="24"/>
          <w:szCs w:val="24"/>
          <w:highlight w:val="none"/>
        </w:rPr>
        <w:t>等法律法规的规定</w:t>
      </w:r>
      <w:bookmarkEnd w:id="106"/>
      <w:r>
        <w:rPr>
          <w:rFonts w:hint="eastAsia" w:ascii="宋体" w:hAnsi="宋体" w:eastAsia="宋体" w:cs="宋体"/>
          <w:color w:val="auto"/>
          <w:sz w:val="24"/>
          <w:szCs w:val="24"/>
          <w:highlight w:val="none"/>
          <w:lang w:val="zh-CN"/>
        </w:rPr>
        <w:t>，按照平等、自愿、公平和诚实信用的原则，经</w:t>
      </w:r>
      <w:r>
        <w:rPr>
          <w:rFonts w:hint="eastAsia" w:ascii="宋体" w:hAnsi="宋体" w:eastAsia="宋体" w:cs="宋体"/>
          <w:color w:val="auto"/>
          <w:sz w:val="24"/>
          <w:szCs w:val="24"/>
          <w:highlight w:val="none"/>
          <w:u w:val="single"/>
          <w:lang w:eastAsia="zh-CN"/>
        </w:rPr>
        <w:t>常熟市梅李人民医院</w:t>
      </w:r>
      <w:r>
        <w:rPr>
          <w:rFonts w:hint="eastAsia" w:ascii="宋体" w:hAnsi="宋体" w:eastAsia="宋体" w:cs="宋体"/>
          <w:color w:val="auto"/>
          <w:sz w:val="24"/>
          <w:szCs w:val="24"/>
          <w:highlight w:val="none"/>
          <w:lang w:val="zh-CN"/>
        </w:rPr>
        <w:t>(以下简称：甲方)和</w:t>
      </w:r>
      <w:r>
        <w:rPr>
          <w:rFonts w:hint="eastAsia" w:ascii="宋体" w:hAnsi="宋体" w:eastAsia="宋体" w:cs="宋体"/>
          <w:color w:val="auto"/>
          <w:sz w:val="24"/>
          <w:szCs w:val="24"/>
          <w:highlight w:val="none"/>
          <w:u w:val="single"/>
        </w:rPr>
        <w:t xml:space="preserve">   （中标人名称）   </w:t>
      </w:r>
      <w:r>
        <w:rPr>
          <w:rFonts w:hint="eastAsia" w:ascii="宋体" w:hAnsi="宋体" w:eastAsia="宋体" w:cs="宋体"/>
          <w:color w:val="auto"/>
          <w:sz w:val="24"/>
          <w:szCs w:val="24"/>
          <w:highlight w:val="none"/>
          <w:lang w:val="zh-CN"/>
        </w:rPr>
        <w:t>(以下简称：乙方)协商一致，约定以下合同</w:t>
      </w:r>
      <w:r>
        <w:rPr>
          <w:rFonts w:hint="eastAsia" w:ascii="宋体" w:hAnsi="宋体" w:eastAsia="宋体" w:cs="宋体"/>
          <w:color w:val="auto"/>
          <w:sz w:val="24"/>
          <w:szCs w:val="24"/>
          <w:highlight w:val="none"/>
        </w:rPr>
        <w:t>条款，以兹共同遵守、全面履行。</w:t>
      </w:r>
    </w:p>
    <w:p w14:paraId="319D68B1">
      <w:pPr>
        <w:keepNext w:val="0"/>
        <w:keepLines w:val="0"/>
        <w:pageBreakBefore w:val="0"/>
        <w:kinsoku/>
        <w:wordWrap/>
        <w:overflowPunct/>
        <w:topLinePunct w:val="0"/>
        <w:bidi w:val="0"/>
        <w:snapToGrid/>
        <w:spacing w:line="460" w:lineRule="exact"/>
        <w:rPr>
          <w:rFonts w:hint="eastAsia" w:ascii="宋体" w:hAnsi="宋体" w:eastAsia="宋体" w:cs="宋体"/>
          <w:color w:val="auto"/>
          <w:sz w:val="24"/>
          <w:szCs w:val="24"/>
          <w:highlight w:val="none"/>
        </w:rPr>
      </w:pPr>
      <w:bookmarkStart w:id="107" w:name="_Toc28855"/>
      <w:bookmarkStart w:id="108" w:name="_Toc15367"/>
      <w:bookmarkStart w:id="109" w:name="_Toc20421"/>
      <w:bookmarkStart w:id="110" w:name="_Toc22967"/>
      <w:bookmarkStart w:id="111" w:name="_Toc19273"/>
      <w:r>
        <w:rPr>
          <w:rFonts w:hint="eastAsia" w:ascii="宋体" w:hAnsi="宋体" w:eastAsia="宋体" w:cs="宋体"/>
          <w:b/>
          <w:color w:val="auto"/>
          <w:sz w:val="24"/>
          <w:szCs w:val="24"/>
          <w:highlight w:val="none"/>
        </w:rPr>
        <w:t>1.1 合同组成部分</w:t>
      </w:r>
      <w:bookmarkEnd w:id="107"/>
      <w:bookmarkEnd w:id="108"/>
      <w:bookmarkEnd w:id="109"/>
      <w:bookmarkEnd w:id="110"/>
      <w:bookmarkEnd w:id="111"/>
    </w:p>
    <w:p w14:paraId="13F66D58">
      <w:pPr>
        <w:keepNext w:val="0"/>
        <w:keepLines w:val="0"/>
        <w:pageBreakBefore w:val="0"/>
        <w:kinsoku/>
        <w:wordWrap/>
        <w:overflowPunct/>
        <w:topLinePunct w:val="0"/>
        <w:bidi w:val="0"/>
        <w:snapToGrid/>
        <w:spacing w:line="46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下列文件为本合同的组成部分，并构成一个整体，需综合解释、相互补充。如果下列文件内容出现不一致的情形，那么在保证按照采购文件确定的事项的前提下，组成本合同的多个文件的优先适用顺序如下：</w:t>
      </w:r>
    </w:p>
    <w:p w14:paraId="340EE1AB">
      <w:pPr>
        <w:keepNext w:val="0"/>
        <w:keepLines w:val="0"/>
        <w:pageBreakBefore w:val="0"/>
        <w:kinsoku/>
        <w:wordWrap/>
        <w:overflowPunct/>
        <w:topLinePunct w:val="0"/>
        <w:bidi w:val="0"/>
        <w:snapToGrid/>
        <w:spacing w:line="46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1.1.1 本合同及其补充合同、变更协议。</w:t>
      </w:r>
    </w:p>
    <w:p w14:paraId="54C8AAB0">
      <w:pPr>
        <w:keepNext w:val="0"/>
        <w:keepLines w:val="0"/>
        <w:pageBreakBefore w:val="0"/>
        <w:kinsoku/>
        <w:wordWrap/>
        <w:overflowPunct/>
        <w:topLinePunct w:val="0"/>
        <w:bidi w:val="0"/>
        <w:snapToGrid/>
        <w:spacing w:line="46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1.1.2 中标通知书。</w:t>
      </w:r>
    </w:p>
    <w:p w14:paraId="12121E34">
      <w:pPr>
        <w:keepNext w:val="0"/>
        <w:keepLines w:val="0"/>
        <w:pageBreakBefore w:val="0"/>
        <w:kinsoku/>
        <w:wordWrap/>
        <w:overflowPunct/>
        <w:topLinePunct w:val="0"/>
        <w:bidi w:val="0"/>
        <w:snapToGrid/>
        <w:spacing w:line="46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1.1.3 投标文件（含澄清或者说明文件）。</w:t>
      </w:r>
    </w:p>
    <w:p w14:paraId="2FD08B93">
      <w:pPr>
        <w:keepNext w:val="0"/>
        <w:keepLines w:val="0"/>
        <w:pageBreakBefore w:val="0"/>
        <w:kinsoku/>
        <w:wordWrap/>
        <w:overflowPunct/>
        <w:topLinePunct w:val="0"/>
        <w:bidi w:val="0"/>
        <w:snapToGrid/>
        <w:spacing w:line="46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1.1.4 招标文件（含澄清或者修改文件）。</w:t>
      </w:r>
    </w:p>
    <w:p w14:paraId="714C0EF5">
      <w:pPr>
        <w:keepNext w:val="0"/>
        <w:keepLines w:val="0"/>
        <w:pageBreakBefore w:val="0"/>
        <w:kinsoku/>
        <w:wordWrap/>
        <w:overflowPunct/>
        <w:topLinePunct w:val="0"/>
        <w:bidi w:val="0"/>
        <w:snapToGrid/>
        <w:spacing w:line="46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1.1.5 其他相关采购文件。</w:t>
      </w:r>
    </w:p>
    <w:p w14:paraId="2DAA67FF">
      <w:pPr>
        <w:keepNext w:val="0"/>
        <w:keepLines w:val="0"/>
        <w:pageBreakBefore w:val="0"/>
        <w:kinsoku/>
        <w:wordWrap/>
        <w:overflowPunct/>
        <w:topLinePunct w:val="0"/>
        <w:bidi w:val="0"/>
        <w:snapToGrid/>
        <w:spacing w:line="460" w:lineRule="exact"/>
        <w:rPr>
          <w:rFonts w:hint="eastAsia" w:ascii="宋体" w:hAnsi="宋体" w:eastAsia="宋体" w:cs="宋体"/>
          <w:b/>
          <w:color w:val="auto"/>
          <w:sz w:val="24"/>
          <w:szCs w:val="24"/>
          <w:highlight w:val="none"/>
        </w:rPr>
      </w:pPr>
      <w:bookmarkStart w:id="112" w:name="_Toc2918"/>
      <w:bookmarkStart w:id="113" w:name="_Toc18585"/>
      <w:bookmarkStart w:id="114" w:name="_Toc22185"/>
      <w:bookmarkStart w:id="115" w:name="_Toc6773"/>
      <w:bookmarkStart w:id="116" w:name="_Toc6311"/>
      <w:r>
        <w:rPr>
          <w:rFonts w:hint="eastAsia" w:ascii="宋体" w:hAnsi="宋体" w:eastAsia="宋体" w:cs="宋体"/>
          <w:b/>
          <w:color w:val="auto"/>
          <w:sz w:val="24"/>
          <w:szCs w:val="24"/>
          <w:highlight w:val="none"/>
        </w:rPr>
        <w:t>1.2 标的</w:t>
      </w:r>
      <w:bookmarkEnd w:id="112"/>
      <w:bookmarkEnd w:id="113"/>
      <w:bookmarkEnd w:id="114"/>
      <w:bookmarkEnd w:id="115"/>
      <w:bookmarkEnd w:id="116"/>
    </w:p>
    <w:p w14:paraId="6814747E">
      <w:pPr>
        <w:keepNext w:val="0"/>
        <w:keepLines w:val="0"/>
        <w:pageBreakBefore w:val="0"/>
        <w:kinsoku/>
        <w:wordWrap/>
        <w:overflowPunct/>
        <w:topLinePunct w:val="0"/>
        <w:bidi w:val="0"/>
        <w:snapToGrid/>
        <w:spacing w:line="460" w:lineRule="exact"/>
        <w:ind w:firstLine="480" w:firstLineChars="200"/>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1.2.1 标的名称：</w:t>
      </w:r>
      <w:r>
        <w:rPr>
          <w:rFonts w:hint="eastAsia" w:ascii="宋体" w:hAnsi="宋体" w:eastAsia="宋体" w:cs="宋体"/>
          <w:color w:val="auto"/>
          <w:sz w:val="24"/>
          <w:szCs w:val="24"/>
          <w:highlight w:val="none"/>
          <w:u w:val="single"/>
          <w:lang w:eastAsia="zh-CN"/>
        </w:rPr>
        <w:t>常熟市梅李人民医院食堂供餐配送服务</w:t>
      </w:r>
      <w:r>
        <w:rPr>
          <w:rFonts w:hint="eastAsia" w:ascii="宋体" w:hAnsi="宋体" w:eastAsia="宋体" w:cs="宋体"/>
          <w:color w:val="auto"/>
          <w:sz w:val="24"/>
          <w:szCs w:val="24"/>
          <w:highlight w:val="none"/>
          <w:u w:val="single"/>
        </w:rPr>
        <w:t>。</w:t>
      </w:r>
    </w:p>
    <w:p w14:paraId="72AC408C">
      <w:pPr>
        <w:keepNext w:val="0"/>
        <w:keepLines w:val="0"/>
        <w:pageBreakBefore w:val="0"/>
        <w:kinsoku/>
        <w:wordWrap/>
        <w:overflowPunct/>
        <w:topLinePunct w:val="0"/>
        <w:bidi w:val="0"/>
        <w:snapToGrid/>
        <w:spacing w:line="46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1.2.2 标的数量：</w:t>
      </w:r>
      <w:r>
        <w:rPr>
          <w:rFonts w:hint="eastAsia" w:ascii="宋体" w:hAnsi="宋体" w:eastAsia="宋体" w:cs="宋体"/>
          <w:color w:val="auto"/>
          <w:sz w:val="24"/>
          <w:szCs w:val="24"/>
          <w:highlight w:val="none"/>
          <w:u w:val="single"/>
        </w:rPr>
        <w:t>1项。</w:t>
      </w:r>
    </w:p>
    <w:p w14:paraId="06279E0E">
      <w:pPr>
        <w:keepNext w:val="0"/>
        <w:keepLines w:val="0"/>
        <w:pageBreakBefore w:val="0"/>
        <w:kinsoku/>
        <w:wordWrap/>
        <w:overflowPunct/>
        <w:topLinePunct w:val="0"/>
        <w:bidi w:val="0"/>
        <w:snapToGrid/>
        <w:spacing w:line="460" w:lineRule="exact"/>
        <w:ind w:firstLine="480" w:firstLineChars="200"/>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1.2.3 标的内容：</w:t>
      </w:r>
      <w:r>
        <w:rPr>
          <w:rFonts w:hint="eastAsia" w:ascii="宋体" w:hAnsi="宋体" w:eastAsia="宋体" w:cs="宋体"/>
          <w:color w:val="auto"/>
          <w:sz w:val="24"/>
          <w:szCs w:val="24"/>
          <w:highlight w:val="none"/>
          <w:u w:val="single"/>
        </w:rPr>
        <w:t xml:space="preserve">          。</w:t>
      </w:r>
    </w:p>
    <w:p w14:paraId="76F5E9BA">
      <w:pPr>
        <w:keepNext w:val="0"/>
        <w:keepLines w:val="0"/>
        <w:pageBreakBefore w:val="0"/>
        <w:widowControl w:val="0"/>
        <w:kinsoku/>
        <w:wordWrap/>
        <w:overflowPunct/>
        <w:topLinePunct w:val="0"/>
        <w:bidi w:val="0"/>
        <w:snapToGrid/>
        <w:spacing w:line="460" w:lineRule="exact"/>
        <w:rPr>
          <w:rFonts w:hint="eastAsia" w:ascii="宋体" w:hAnsi="宋体" w:eastAsia="宋体" w:cs="宋体"/>
          <w:b/>
          <w:color w:val="auto"/>
          <w:sz w:val="24"/>
          <w:szCs w:val="24"/>
          <w:highlight w:val="none"/>
        </w:rPr>
      </w:pPr>
      <w:bookmarkStart w:id="117" w:name="_Toc4929"/>
      <w:bookmarkStart w:id="118" w:name="_Toc21124"/>
      <w:bookmarkStart w:id="119" w:name="_Toc5635"/>
      <w:bookmarkStart w:id="120" w:name="_Toc1386"/>
      <w:bookmarkStart w:id="121" w:name="_Toc13918"/>
      <w:r>
        <w:rPr>
          <w:rFonts w:hint="eastAsia" w:ascii="宋体" w:hAnsi="宋体" w:eastAsia="宋体" w:cs="宋体"/>
          <w:b/>
          <w:color w:val="auto"/>
          <w:sz w:val="24"/>
          <w:szCs w:val="24"/>
          <w:highlight w:val="none"/>
        </w:rPr>
        <w:t>1.3 价款</w:t>
      </w:r>
      <w:bookmarkEnd w:id="117"/>
      <w:bookmarkEnd w:id="118"/>
      <w:bookmarkEnd w:id="119"/>
      <w:bookmarkEnd w:id="120"/>
      <w:bookmarkEnd w:id="121"/>
    </w:p>
    <w:p w14:paraId="49F1C21A">
      <w:pPr>
        <w:keepNext w:val="0"/>
        <w:keepLines w:val="0"/>
        <w:pageBreakBefore w:val="0"/>
        <w:widowControl w:val="0"/>
        <w:kinsoku/>
        <w:wordWrap/>
        <w:overflowPunct/>
        <w:topLinePunct w:val="0"/>
        <w:bidi w:val="0"/>
        <w:snapToGrid/>
        <w:spacing w:line="460" w:lineRule="exact"/>
        <w:ind w:firstLine="480" w:firstLineChars="200"/>
        <w:rPr>
          <w:rFonts w:hint="eastAsia" w:ascii="宋体" w:hAnsi="宋体" w:eastAsia="宋体" w:cs="宋体"/>
          <w:bCs/>
          <w:color w:val="auto"/>
          <w:kern w:val="0"/>
          <w:sz w:val="24"/>
          <w:szCs w:val="24"/>
          <w:highlight w:val="none"/>
        </w:rPr>
      </w:pPr>
      <w:bookmarkStart w:id="122" w:name="_Toc30158"/>
      <w:bookmarkStart w:id="123" w:name="_Toc30506"/>
      <w:bookmarkStart w:id="124" w:name="_Toc26916"/>
      <w:bookmarkStart w:id="125" w:name="_Toc14993"/>
      <w:bookmarkStart w:id="126" w:name="_Toc3654"/>
      <w:r>
        <w:rPr>
          <w:rFonts w:hint="eastAsia" w:ascii="宋体" w:hAnsi="宋体" w:eastAsia="宋体" w:cs="宋体"/>
          <w:bCs/>
          <w:color w:val="auto"/>
          <w:kern w:val="0"/>
          <w:sz w:val="24"/>
          <w:szCs w:val="24"/>
          <w:highlight w:val="none"/>
        </w:rPr>
        <w:t>本合同</w:t>
      </w:r>
      <w:r>
        <w:rPr>
          <w:rFonts w:hint="eastAsia" w:ascii="宋体" w:hAnsi="宋体" w:eastAsia="宋体" w:cs="宋体"/>
          <w:bCs/>
          <w:color w:val="auto"/>
          <w:kern w:val="0"/>
          <w:sz w:val="24"/>
          <w:szCs w:val="24"/>
          <w:highlight w:val="none"/>
          <w:lang w:val="en-US" w:eastAsia="zh-CN"/>
        </w:rPr>
        <w:t>中标优惠率</w:t>
      </w:r>
      <w:r>
        <w:rPr>
          <w:rFonts w:hint="eastAsia" w:ascii="宋体" w:hAnsi="宋体" w:eastAsia="宋体" w:cs="宋体"/>
          <w:bCs/>
          <w:color w:val="auto"/>
          <w:kern w:val="0"/>
          <w:sz w:val="24"/>
          <w:szCs w:val="24"/>
          <w:highlight w:val="none"/>
        </w:rPr>
        <w:t>：</w:t>
      </w:r>
      <w:r>
        <w:rPr>
          <w:rFonts w:hint="eastAsia" w:ascii="宋体" w:hAnsi="宋体" w:eastAsia="宋体" w:cs="宋体"/>
          <w:bCs/>
          <w:color w:val="auto"/>
          <w:kern w:val="0"/>
          <w:sz w:val="24"/>
          <w:szCs w:val="24"/>
          <w:highlight w:val="none"/>
          <w:u w:val="single"/>
          <w:lang w:val="en-US" w:eastAsia="zh-CN"/>
        </w:rPr>
        <w:t xml:space="preserve">                      </w:t>
      </w:r>
      <w:r>
        <w:rPr>
          <w:rFonts w:hint="eastAsia" w:ascii="宋体" w:hAnsi="宋体" w:eastAsia="宋体" w:cs="宋体"/>
          <w:bCs/>
          <w:color w:val="auto"/>
          <w:kern w:val="0"/>
          <w:sz w:val="24"/>
          <w:szCs w:val="24"/>
          <w:highlight w:val="none"/>
          <w:lang w:val="en-US" w:eastAsia="zh-CN"/>
        </w:rPr>
        <w:t>%</w:t>
      </w:r>
    </w:p>
    <w:p w14:paraId="798318DB">
      <w:pPr>
        <w:keepNext w:val="0"/>
        <w:keepLines w:val="0"/>
        <w:pageBreakBefore w:val="0"/>
        <w:widowControl w:val="0"/>
        <w:kinsoku/>
        <w:wordWrap/>
        <w:overflowPunct/>
        <w:topLinePunct w:val="0"/>
        <w:bidi w:val="0"/>
        <w:snapToGrid/>
        <w:spacing w:line="46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1.4 </w:t>
      </w:r>
      <w:r>
        <w:rPr>
          <w:rFonts w:hint="eastAsia" w:ascii="宋体" w:hAnsi="宋体" w:eastAsia="宋体" w:cs="宋体"/>
          <w:b/>
          <w:color w:val="auto"/>
          <w:sz w:val="24"/>
          <w:szCs w:val="24"/>
          <w:highlight w:val="none"/>
          <w:lang w:val="en-US" w:eastAsia="zh-CN"/>
        </w:rPr>
        <w:t>费用组成及</w:t>
      </w:r>
      <w:r>
        <w:rPr>
          <w:rFonts w:hint="eastAsia" w:ascii="宋体" w:hAnsi="宋体" w:eastAsia="宋体" w:cs="宋体"/>
          <w:b/>
          <w:color w:val="auto"/>
          <w:sz w:val="24"/>
          <w:szCs w:val="24"/>
          <w:highlight w:val="none"/>
        </w:rPr>
        <w:t>付款方式</w:t>
      </w:r>
      <w:bookmarkEnd w:id="122"/>
      <w:bookmarkEnd w:id="123"/>
      <w:bookmarkEnd w:id="124"/>
      <w:bookmarkEnd w:id="125"/>
      <w:bookmarkEnd w:id="126"/>
    </w:p>
    <w:p w14:paraId="2E7EB098">
      <w:pPr>
        <w:keepNext w:val="0"/>
        <w:keepLines w:val="0"/>
        <w:pageBreakBefore w:val="0"/>
        <w:widowControl w:val="0"/>
        <w:kinsoku/>
        <w:wordWrap/>
        <w:overflowPunct/>
        <w:topLinePunct w:val="0"/>
        <w:bidi w:val="0"/>
        <w:snapToGrid/>
        <w:spacing w:line="46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1.4.1 本合同项下所有款项均以人民币支付。</w:t>
      </w:r>
    </w:p>
    <w:p w14:paraId="24520DA8">
      <w:pPr>
        <w:keepNext w:val="0"/>
        <w:keepLines w:val="0"/>
        <w:pageBreakBefore w:val="0"/>
        <w:widowControl w:val="0"/>
        <w:kinsoku/>
        <w:wordWrap/>
        <w:overflowPunct/>
        <w:topLinePunct w:val="0"/>
        <w:bidi w:val="0"/>
        <w:snapToGrid/>
        <w:spacing w:line="460" w:lineRule="exact"/>
        <w:ind w:firstLine="480" w:firstLineChars="200"/>
        <w:rPr>
          <w:rFonts w:hint="eastAsia" w:ascii="宋体" w:hAnsi="宋体" w:eastAsia="宋体" w:cs="宋体"/>
          <w:b w:val="0"/>
          <w:bCs/>
          <w:sz w:val="24"/>
          <w:szCs w:val="24"/>
          <w:highlight w:val="none"/>
        </w:rPr>
      </w:pPr>
      <w:r>
        <w:rPr>
          <w:rFonts w:hint="eastAsia" w:ascii="宋体" w:hAnsi="宋体" w:eastAsia="宋体" w:cs="宋体"/>
          <w:color w:val="auto"/>
          <w:sz w:val="24"/>
          <w:szCs w:val="24"/>
          <w:highlight w:val="none"/>
        </w:rPr>
        <w:t xml:space="preserve">1.4.2 </w:t>
      </w:r>
      <w:r>
        <w:rPr>
          <w:rFonts w:hint="eastAsia" w:ascii="宋体" w:hAnsi="宋体" w:eastAsia="宋体" w:cs="宋体"/>
          <w:b w:val="0"/>
          <w:bCs/>
          <w:color w:val="auto"/>
          <w:sz w:val="24"/>
          <w:szCs w:val="24"/>
          <w:highlight w:val="none"/>
          <w:lang w:val="en-US" w:eastAsia="zh-CN"/>
        </w:rPr>
        <w:t>月度</w:t>
      </w:r>
      <w:r>
        <w:rPr>
          <w:rFonts w:hint="eastAsia" w:ascii="宋体" w:hAnsi="宋体" w:eastAsia="宋体" w:cs="宋体"/>
          <w:b w:val="0"/>
          <w:bCs/>
          <w:sz w:val="24"/>
          <w:szCs w:val="24"/>
          <w:highlight w:val="none"/>
        </w:rPr>
        <w:t>餐费总收入由职工供餐收入及其他餐费收入两部分组成（</w:t>
      </w:r>
      <w:r>
        <w:rPr>
          <w:rFonts w:hint="eastAsia" w:ascii="宋体" w:hAnsi="宋体" w:eastAsia="宋体" w:cs="宋体"/>
          <w:b w:val="0"/>
          <w:bCs/>
          <w:sz w:val="24"/>
          <w:szCs w:val="24"/>
          <w:highlight w:val="none"/>
          <w:lang w:val="en-US" w:eastAsia="zh-CN"/>
        </w:rPr>
        <w:t>月度</w:t>
      </w:r>
      <w:r>
        <w:rPr>
          <w:rFonts w:hint="eastAsia" w:ascii="宋体" w:hAnsi="宋体" w:eastAsia="宋体" w:cs="宋体"/>
          <w:b w:val="0"/>
          <w:bCs/>
          <w:sz w:val="24"/>
          <w:szCs w:val="24"/>
          <w:highlight w:val="none"/>
        </w:rPr>
        <w:t>餐费总收入=职工刷卡结算收入+其他餐费收入）。</w:t>
      </w:r>
    </w:p>
    <w:p w14:paraId="4998714F">
      <w:pPr>
        <w:keepNext w:val="0"/>
        <w:keepLines w:val="0"/>
        <w:pageBreakBefore w:val="0"/>
        <w:widowControl w:val="0"/>
        <w:kinsoku/>
        <w:wordWrap/>
        <w:overflowPunct/>
        <w:topLinePunct w:val="0"/>
        <w:bidi w:val="0"/>
        <w:snapToGrid/>
        <w:spacing w:line="460" w:lineRule="exact"/>
        <w:ind w:firstLine="480" w:firstLineChars="200"/>
        <w:rPr>
          <w:rFonts w:hint="eastAsia" w:ascii="宋体" w:hAnsi="宋体" w:eastAsia="宋体" w:cs="宋体"/>
          <w:b w:val="0"/>
          <w:bCs/>
          <w:sz w:val="24"/>
          <w:szCs w:val="24"/>
          <w:highlight w:val="none"/>
          <w:lang w:val="en-US" w:eastAsia="zh-CN"/>
        </w:rPr>
      </w:pPr>
      <w:r>
        <w:rPr>
          <w:rFonts w:hint="eastAsia" w:ascii="宋体" w:hAnsi="宋体" w:eastAsia="宋体" w:cs="宋体"/>
          <w:b w:val="0"/>
          <w:bCs/>
          <w:sz w:val="24"/>
          <w:szCs w:val="24"/>
          <w:highlight w:val="none"/>
        </w:rPr>
        <w:t>职工供餐收入部分：</w:t>
      </w:r>
      <w:r>
        <w:rPr>
          <w:rFonts w:hint="eastAsia" w:ascii="宋体" w:hAnsi="宋体" w:eastAsia="宋体" w:cs="宋体"/>
          <w:b w:val="0"/>
          <w:bCs/>
          <w:sz w:val="24"/>
          <w:szCs w:val="24"/>
          <w:highlight w:val="none"/>
          <w:lang w:eastAsia="zh-CN"/>
        </w:rPr>
        <w:t>甲方</w:t>
      </w:r>
      <w:r>
        <w:rPr>
          <w:rFonts w:hint="eastAsia" w:ascii="宋体" w:hAnsi="宋体" w:eastAsia="宋体" w:cs="宋体"/>
          <w:b w:val="0"/>
          <w:bCs/>
          <w:sz w:val="24"/>
          <w:szCs w:val="24"/>
          <w:highlight w:val="none"/>
        </w:rPr>
        <w:t>设立食堂专用虚拟账户，职工刷卡结算收入由</w:t>
      </w:r>
      <w:r>
        <w:rPr>
          <w:rFonts w:hint="eastAsia" w:ascii="宋体" w:hAnsi="宋体" w:eastAsia="宋体" w:cs="宋体"/>
          <w:b w:val="0"/>
          <w:bCs/>
          <w:sz w:val="24"/>
          <w:szCs w:val="24"/>
          <w:highlight w:val="none"/>
          <w:lang w:eastAsia="zh-CN"/>
        </w:rPr>
        <w:t>甲方</w:t>
      </w:r>
      <w:r>
        <w:rPr>
          <w:rFonts w:hint="eastAsia" w:ascii="宋体" w:hAnsi="宋体" w:eastAsia="宋体" w:cs="宋体"/>
          <w:b w:val="0"/>
          <w:bCs/>
          <w:sz w:val="24"/>
          <w:szCs w:val="24"/>
          <w:highlight w:val="none"/>
        </w:rPr>
        <w:t>独立核算及统一管理。</w:t>
      </w:r>
    </w:p>
    <w:p w14:paraId="13FF0315">
      <w:pPr>
        <w:keepNext w:val="0"/>
        <w:keepLines w:val="0"/>
        <w:pageBreakBefore w:val="0"/>
        <w:widowControl w:val="0"/>
        <w:kinsoku/>
        <w:wordWrap/>
        <w:overflowPunct/>
        <w:topLinePunct w:val="0"/>
        <w:bidi w:val="0"/>
        <w:snapToGrid/>
        <w:spacing w:line="460" w:lineRule="exact"/>
        <w:ind w:firstLine="480" w:firstLineChars="200"/>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sz w:val="24"/>
          <w:szCs w:val="24"/>
          <w:highlight w:val="none"/>
        </w:rPr>
        <w:t>其他餐费收入部分：其他餐费收入包括职工刷卡结算收入以外的所有餐费收入（如病人点餐、家属点餐等）</w:t>
      </w:r>
      <w:r>
        <w:rPr>
          <w:rFonts w:hint="eastAsia" w:ascii="宋体" w:hAnsi="宋体" w:eastAsia="宋体" w:cs="宋体"/>
          <w:b w:val="0"/>
          <w:bCs/>
          <w:sz w:val="24"/>
          <w:szCs w:val="24"/>
          <w:highlight w:val="none"/>
          <w:lang w:eastAsia="zh-CN"/>
        </w:rPr>
        <w:t>。</w:t>
      </w:r>
    </w:p>
    <w:p w14:paraId="3689CA4D">
      <w:pPr>
        <w:pStyle w:val="22"/>
        <w:keepNext w:val="0"/>
        <w:keepLines w:val="0"/>
        <w:pageBreakBefore w:val="0"/>
        <w:widowControl w:val="0"/>
        <w:kinsoku/>
        <w:wordWrap/>
        <w:overflowPunct/>
        <w:topLinePunct w:val="0"/>
        <w:bidi w:val="0"/>
        <w:snapToGrid/>
        <w:spacing w:line="460" w:lineRule="exact"/>
        <w:rPr>
          <w:rFonts w:hint="eastAsia" w:ascii="宋体" w:hAnsi="宋体" w:eastAsia="宋体" w:cs="宋体"/>
          <w:highlight w:val="none"/>
          <w:lang w:val="en-US" w:eastAsia="zh-CN"/>
        </w:rPr>
      </w:pPr>
      <w:r>
        <w:rPr>
          <w:rFonts w:hint="eastAsia" w:ascii="宋体" w:hAnsi="宋体" w:eastAsia="宋体" w:cs="宋体"/>
          <w:b w:val="0"/>
          <w:bCs w:val="0"/>
          <w:sz w:val="24"/>
          <w:szCs w:val="24"/>
          <w:highlight w:val="none"/>
          <w:lang w:val="en-US" w:eastAsia="zh-CN"/>
        </w:rPr>
        <w:t>1.4.3付款</w:t>
      </w:r>
      <w:r>
        <w:rPr>
          <w:rFonts w:hint="eastAsia" w:ascii="宋体" w:hAnsi="宋体" w:eastAsia="宋体" w:cs="宋体"/>
          <w:b w:val="0"/>
          <w:bCs w:val="0"/>
          <w:color w:val="000000"/>
          <w:sz w:val="24"/>
          <w:szCs w:val="24"/>
          <w:highlight w:val="none"/>
          <w:lang w:val="en-US" w:eastAsia="zh-CN"/>
        </w:rPr>
        <w:t>方式：甲方按月度</w:t>
      </w:r>
      <w:r>
        <w:rPr>
          <w:rFonts w:hint="eastAsia" w:ascii="宋体" w:hAnsi="宋体" w:eastAsia="宋体" w:cs="宋体"/>
          <w:b w:val="0"/>
          <w:bCs w:val="0"/>
          <w:color w:val="000000"/>
          <w:kern w:val="2"/>
          <w:sz w:val="24"/>
          <w:szCs w:val="24"/>
          <w:highlight w:val="none"/>
          <w:lang w:val="en-US" w:eastAsia="zh-CN"/>
        </w:rPr>
        <w:t>餐费总收入</w:t>
      </w:r>
      <w:r>
        <w:rPr>
          <w:rFonts w:hint="eastAsia" w:ascii="宋体" w:hAnsi="宋体" w:eastAsia="宋体" w:cs="宋体"/>
          <w:b w:val="0"/>
          <w:bCs w:val="0"/>
          <w:color w:val="000000"/>
          <w:kern w:val="2"/>
          <w:sz w:val="24"/>
          <w:szCs w:val="24"/>
          <w:highlight w:val="none"/>
        </w:rPr>
        <w:t>×</w:t>
      </w:r>
      <w:r>
        <w:rPr>
          <w:rFonts w:hint="eastAsia" w:ascii="宋体" w:hAnsi="宋体" w:eastAsia="宋体" w:cs="宋体"/>
          <w:b w:val="0"/>
          <w:bCs w:val="0"/>
          <w:color w:val="000000"/>
          <w:kern w:val="2"/>
          <w:sz w:val="24"/>
          <w:szCs w:val="24"/>
          <w:highlight w:val="none"/>
          <w:lang w:eastAsia="zh-CN"/>
        </w:rPr>
        <w:t>（</w:t>
      </w:r>
      <w:r>
        <w:rPr>
          <w:rFonts w:hint="eastAsia" w:ascii="宋体" w:hAnsi="宋体" w:eastAsia="宋体" w:cs="宋体"/>
          <w:b w:val="0"/>
          <w:bCs w:val="0"/>
          <w:color w:val="000000"/>
          <w:kern w:val="2"/>
          <w:sz w:val="24"/>
          <w:szCs w:val="24"/>
          <w:highlight w:val="none"/>
          <w:lang w:val="en-US" w:eastAsia="zh-CN"/>
        </w:rPr>
        <w:t>1-中标</w:t>
      </w:r>
      <w:r>
        <w:rPr>
          <w:rFonts w:hint="eastAsia" w:ascii="宋体" w:hAnsi="宋体" w:eastAsia="宋体" w:cs="宋体"/>
          <w:b w:val="0"/>
          <w:bCs w:val="0"/>
          <w:color w:val="000000"/>
          <w:kern w:val="2"/>
          <w:sz w:val="24"/>
          <w:szCs w:val="24"/>
          <w:highlight w:val="none"/>
        </w:rPr>
        <w:t>优惠率</w:t>
      </w:r>
      <w:r>
        <w:rPr>
          <w:rFonts w:hint="eastAsia" w:ascii="宋体" w:hAnsi="宋体" w:eastAsia="宋体" w:cs="宋体"/>
          <w:b w:val="0"/>
          <w:bCs w:val="0"/>
          <w:color w:val="000000"/>
          <w:kern w:val="2"/>
          <w:sz w:val="24"/>
          <w:szCs w:val="24"/>
          <w:highlight w:val="none"/>
          <w:lang w:eastAsia="zh-CN"/>
        </w:rPr>
        <w:t>）</w:t>
      </w:r>
      <w:r>
        <w:rPr>
          <w:rFonts w:hint="eastAsia" w:ascii="宋体" w:hAnsi="宋体" w:eastAsia="宋体" w:cs="宋体"/>
          <w:b w:val="0"/>
          <w:bCs w:val="0"/>
          <w:color w:val="000000"/>
          <w:kern w:val="2"/>
          <w:sz w:val="24"/>
          <w:szCs w:val="24"/>
          <w:highlight w:val="none"/>
          <w:lang w:val="en-US" w:eastAsia="zh-CN"/>
        </w:rPr>
        <w:t>-月度考核扣款后，</w:t>
      </w:r>
      <w:r>
        <w:rPr>
          <w:rFonts w:hint="eastAsia" w:ascii="宋体" w:hAnsi="宋体" w:eastAsia="宋体" w:cs="宋体"/>
          <w:b w:val="0"/>
          <w:bCs w:val="0"/>
          <w:color w:val="000000"/>
          <w:sz w:val="24"/>
          <w:szCs w:val="24"/>
          <w:highlight w:val="none"/>
        </w:rPr>
        <w:t>在月后的10个工作日内向</w:t>
      </w:r>
      <w:r>
        <w:rPr>
          <w:rFonts w:hint="eastAsia" w:ascii="宋体" w:hAnsi="宋体" w:eastAsia="宋体" w:cs="宋体"/>
          <w:b w:val="0"/>
          <w:bCs w:val="0"/>
          <w:color w:val="000000"/>
          <w:sz w:val="24"/>
          <w:szCs w:val="24"/>
          <w:highlight w:val="none"/>
          <w:lang w:val="en-US" w:eastAsia="zh-CN"/>
        </w:rPr>
        <w:t>乙方</w:t>
      </w:r>
      <w:r>
        <w:rPr>
          <w:rFonts w:hint="eastAsia" w:ascii="宋体" w:hAnsi="宋体" w:eastAsia="宋体" w:cs="宋体"/>
          <w:b w:val="0"/>
          <w:bCs w:val="0"/>
          <w:color w:val="000000"/>
          <w:sz w:val="24"/>
          <w:szCs w:val="24"/>
          <w:highlight w:val="none"/>
        </w:rPr>
        <w:t>支付上月</w:t>
      </w:r>
      <w:r>
        <w:rPr>
          <w:rFonts w:hint="eastAsia" w:ascii="宋体" w:hAnsi="宋体" w:eastAsia="宋体" w:cs="宋体"/>
          <w:b w:val="0"/>
          <w:bCs w:val="0"/>
          <w:color w:val="000000"/>
          <w:sz w:val="24"/>
          <w:szCs w:val="24"/>
          <w:highlight w:val="none"/>
          <w:lang w:val="en-US" w:eastAsia="zh-CN"/>
        </w:rPr>
        <w:t>餐费</w:t>
      </w:r>
      <w:r>
        <w:rPr>
          <w:rFonts w:hint="eastAsia" w:ascii="宋体" w:hAnsi="宋体" w:eastAsia="宋体" w:cs="宋体"/>
          <w:b w:val="0"/>
          <w:bCs w:val="0"/>
          <w:color w:val="000000"/>
          <w:sz w:val="24"/>
          <w:szCs w:val="24"/>
          <w:highlight w:val="none"/>
          <w:lang w:eastAsia="zh-CN"/>
        </w:rPr>
        <w:t>。</w:t>
      </w:r>
      <w:r>
        <w:rPr>
          <w:rFonts w:hint="eastAsia" w:ascii="宋体" w:hAnsi="宋体" w:eastAsia="宋体" w:cs="宋体"/>
          <w:b w:val="0"/>
          <w:bCs w:val="0"/>
          <w:color w:val="000000"/>
          <w:sz w:val="24"/>
          <w:szCs w:val="24"/>
          <w:highlight w:val="none"/>
          <w:lang w:val="en-US" w:eastAsia="zh-CN"/>
        </w:rPr>
        <w:t>月度考核扣款从月度餐费中扣除，考核详见《考核评分表》。</w:t>
      </w:r>
    </w:p>
    <w:p w14:paraId="5801F783">
      <w:pPr>
        <w:keepNext w:val="0"/>
        <w:keepLines w:val="0"/>
        <w:pageBreakBefore w:val="0"/>
        <w:widowControl w:val="0"/>
        <w:kinsoku/>
        <w:wordWrap/>
        <w:overflowPunct/>
        <w:topLinePunct w:val="0"/>
        <w:autoSpaceDE w:val="0"/>
        <w:autoSpaceDN w:val="0"/>
        <w:bidi w:val="0"/>
        <w:adjustRightInd w:val="0"/>
        <w:snapToGrid/>
        <w:spacing w:line="460" w:lineRule="exact"/>
        <w:ind w:firstLine="482" w:firstLineChars="200"/>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注：（1）</w:t>
      </w:r>
      <w:r>
        <w:rPr>
          <w:rFonts w:hint="eastAsia" w:ascii="宋体" w:hAnsi="宋体" w:eastAsia="宋体" w:cs="宋体"/>
          <w:b/>
          <w:bCs/>
          <w:color w:val="auto"/>
          <w:sz w:val="24"/>
          <w:szCs w:val="24"/>
          <w:highlight w:val="none"/>
          <w:lang w:val="zh-CN"/>
        </w:rPr>
        <w:t>以上每次付款前，</w:t>
      </w:r>
      <w:r>
        <w:rPr>
          <w:rFonts w:hint="eastAsia" w:ascii="宋体" w:hAnsi="宋体" w:eastAsia="宋体" w:cs="宋体"/>
          <w:b/>
          <w:bCs/>
          <w:color w:val="auto"/>
          <w:sz w:val="24"/>
          <w:szCs w:val="24"/>
          <w:highlight w:val="none"/>
          <w:lang w:val="en-US" w:eastAsia="zh-CN"/>
        </w:rPr>
        <w:t>乙方</w:t>
      </w:r>
      <w:r>
        <w:rPr>
          <w:rFonts w:hint="eastAsia" w:ascii="宋体" w:hAnsi="宋体" w:eastAsia="宋体" w:cs="宋体"/>
          <w:b/>
          <w:bCs/>
          <w:color w:val="auto"/>
          <w:sz w:val="24"/>
          <w:szCs w:val="24"/>
          <w:highlight w:val="none"/>
          <w:lang w:val="zh-CN"/>
        </w:rPr>
        <w:t>均应提供符合</w:t>
      </w:r>
      <w:r>
        <w:rPr>
          <w:rFonts w:hint="eastAsia" w:ascii="宋体" w:hAnsi="宋体" w:eastAsia="宋体" w:cs="宋体"/>
          <w:b/>
          <w:bCs/>
          <w:color w:val="auto"/>
          <w:sz w:val="24"/>
          <w:szCs w:val="24"/>
          <w:highlight w:val="none"/>
          <w:lang w:val="en-US" w:eastAsia="zh-CN"/>
        </w:rPr>
        <w:t>甲方</w:t>
      </w:r>
      <w:r>
        <w:rPr>
          <w:rFonts w:hint="eastAsia" w:ascii="宋体" w:hAnsi="宋体" w:eastAsia="宋体" w:cs="宋体"/>
          <w:b/>
          <w:bCs/>
          <w:color w:val="auto"/>
          <w:sz w:val="24"/>
          <w:szCs w:val="24"/>
          <w:highlight w:val="none"/>
          <w:lang w:val="zh-CN"/>
        </w:rPr>
        <w:t>要求的同等金额的合法有效发票。否则，</w:t>
      </w:r>
      <w:r>
        <w:rPr>
          <w:rFonts w:hint="eastAsia" w:ascii="宋体" w:hAnsi="宋体" w:eastAsia="宋体" w:cs="宋体"/>
          <w:b/>
          <w:bCs/>
          <w:color w:val="auto"/>
          <w:sz w:val="24"/>
          <w:szCs w:val="24"/>
          <w:highlight w:val="none"/>
          <w:lang w:val="en-US" w:eastAsia="zh-CN"/>
        </w:rPr>
        <w:t>甲方</w:t>
      </w:r>
      <w:r>
        <w:rPr>
          <w:rFonts w:hint="eastAsia" w:ascii="宋体" w:hAnsi="宋体" w:eastAsia="宋体" w:cs="宋体"/>
          <w:b/>
          <w:bCs/>
          <w:color w:val="auto"/>
          <w:sz w:val="24"/>
          <w:szCs w:val="24"/>
          <w:highlight w:val="none"/>
          <w:lang w:val="zh-CN"/>
        </w:rPr>
        <w:t>有权顺延付款时间，且不承担任何违约及/或赔偿责任</w:t>
      </w:r>
      <w:r>
        <w:rPr>
          <w:rFonts w:hint="eastAsia" w:ascii="宋体" w:hAnsi="宋体" w:eastAsia="宋体" w:cs="宋体"/>
          <w:b/>
          <w:color w:val="auto"/>
          <w:sz w:val="24"/>
          <w:szCs w:val="24"/>
          <w:highlight w:val="none"/>
        </w:rPr>
        <w:t>。</w:t>
      </w:r>
    </w:p>
    <w:p w14:paraId="1C048F03">
      <w:pPr>
        <w:keepNext w:val="0"/>
        <w:keepLines w:val="0"/>
        <w:pageBreakBefore w:val="0"/>
        <w:kinsoku/>
        <w:wordWrap/>
        <w:overflowPunct/>
        <w:topLinePunct w:val="0"/>
        <w:autoSpaceDE w:val="0"/>
        <w:autoSpaceDN w:val="0"/>
        <w:bidi w:val="0"/>
        <w:adjustRightInd w:val="0"/>
        <w:snapToGrid/>
        <w:spacing w:line="460" w:lineRule="exact"/>
        <w:ind w:firstLine="964" w:firstLineChars="400"/>
        <w:rPr>
          <w:rFonts w:hint="eastAsia" w:ascii="宋体" w:hAnsi="宋体" w:eastAsia="宋体" w:cs="宋体"/>
          <w:color w:val="auto"/>
          <w:sz w:val="24"/>
          <w:szCs w:val="24"/>
          <w:highlight w:val="none"/>
          <w:lang w:val="en-US" w:eastAsia="zh-CN"/>
        </w:rPr>
      </w:pPr>
      <w:r>
        <w:rPr>
          <w:rFonts w:hint="eastAsia" w:ascii="宋体" w:hAnsi="宋体" w:eastAsia="宋体" w:cs="宋体"/>
          <w:b/>
          <w:color w:val="auto"/>
          <w:sz w:val="24"/>
          <w:szCs w:val="24"/>
          <w:highlight w:val="none"/>
        </w:rPr>
        <w:t>（</w:t>
      </w:r>
      <w:r>
        <w:rPr>
          <w:rFonts w:hint="eastAsia" w:ascii="宋体" w:hAnsi="宋体" w:eastAsia="宋体" w:cs="宋体"/>
          <w:b/>
          <w:color w:val="auto"/>
          <w:sz w:val="24"/>
          <w:szCs w:val="24"/>
          <w:highlight w:val="none"/>
          <w:lang w:val="en-US" w:eastAsia="zh-CN"/>
        </w:rPr>
        <w:t>2</w:t>
      </w:r>
      <w:r>
        <w:rPr>
          <w:rFonts w:hint="eastAsia" w:ascii="宋体" w:hAnsi="宋体" w:eastAsia="宋体" w:cs="宋体"/>
          <w:b/>
          <w:color w:val="auto"/>
          <w:sz w:val="24"/>
          <w:szCs w:val="24"/>
          <w:highlight w:val="none"/>
        </w:rPr>
        <w:t>）本项目支付方式</w:t>
      </w:r>
      <w:r>
        <w:rPr>
          <w:rFonts w:hint="eastAsia" w:ascii="宋体" w:hAnsi="宋体" w:eastAsia="宋体" w:cs="宋体"/>
          <w:b/>
          <w:color w:val="auto"/>
          <w:sz w:val="24"/>
          <w:szCs w:val="24"/>
          <w:highlight w:val="none"/>
          <w:lang w:val="en-US" w:eastAsia="zh-CN"/>
        </w:rPr>
        <w:t>包括但不限于</w:t>
      </w:r>
      <w:r>
        <w:rPr>
          <w:rFonts w:hint="eastAsia" w:ascii="宋体" w:hAnsi="宋体" w:eastAsia="宋体" w:cs="宋体"/>
          <w:b/>
          <w:bCs/>
          <w:color w:val="auto"/>
          <w:sz w:val="24"/>
          <w:szCs w:val="24"/>
          <w:highlight w:val="none"/>
        </w:rPr>
        <w:t>数字人民币、现金、银行汇票、转账支票等。</w:t>
      </w:r>
    </w:p>
    <w:p w14:paraId="5585A1AC">
      <w:pPr>
        <w:keepNext w:val="0"/>
        <w:keepLines w:val="0"/>
        <w:pageBreakBefore w:val="0"/>
        <w:kinsoku/>
        <w:wordWrap/>
        <w:overflowPunct/>
        <w:topLinePunct w:val="0"/>
        <w:autoSpaceDE w:val="0"/>
        <w:autoSpaceDN w:val="0"/>
        <w:bidi w:val="0"/>
        <w:adjustRightInd w:val="0"/>
        <w:snapToGrid/>
        <w:spacing w:line="46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1.4.</w:t>
      </w: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rPr>
        <w:t>发票开具方式：</w:t>
      </w:r>
      <w:r>
        <w:rPr>
          <w:rFonts w:hint="eastAsia" w:ascii="宋体" w:hAnsi="宋体" w:eastAsia="宋体" w:cs="宋体"/>
          <w:b/>
          <w:bCs/>
          <w:color w:val="auto"/>
          <w:sz w:val="24"/>
          <w:szCs w:val="24"/>
          <w:highlight w:val="none"/>
          <w:u w:val="single"/>
        </w:rPr>
        <w:t>增值税专用发票或增值税普通发票</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14:paraId="1336EE45">
      <w:pPr>
        <w:keepNext w:val="0"/>
        <w:keepLines w:val="0"/>
        <w:pageBreakBefore w:val="0"/>
        <w:kinsoku/>
        <w:wordWrap/>
        <w:overflowPunct/>
        <w:topLinePunct w:val="0"/>
        <w:bidi w:val="0"/>
        <w:snapToGrid/>
        <w:spacing w:line="46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1.5 服务期限和地点</w:t>
      </w:r>
    </w:p>
    <w:p w14:paraId="42A4E96F">
      <w:pPr>
        <w:keepNext w:val="0"/>
        <w:keepLines w:val="0"/>
        <w:pageBreakBefore w:val="0"/>
        <w:kinsoku/>
        <w:wordWrap/>
        <w:overflowPunct/>
        <w:topLinePunct w:val="0"/>
        <w:bidi w:val="0"/>
        <w:snapToGrid/>
        <w:spacing w:line="460" w:lineRule="exact"/>
        <w:ind w:firstLine="480" w:firstLineChars="200"/>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1.5.1 服务期限：自合同签订之日起2年。</w:t>
      </w:r>
    </w:p>
    <w:p w14:paraId="379B19FE">
      <w:pPr>
        <w:keepNext w:val="0"/>
        <w:keepLines w:val="0"/>
        <w:pageBreakBefore w:val="0"/>
        <w:kinsoku/>
        <w:wordWrap/>
        <w:overflowPunct/>
        <w:topLinePunct w:val="0"/>
        <w:bidi w:val="0"/>
        <w:snapToGrid/>
        <w:spacing w:line="460" w:lineRule="exact"/>
        <w:ind w:firstLine="480" w:firstLineChars="200"/>
        <w:rPr>
          <w:rFonts w:hint="eastAsia" w:ascii="宋体" w:hAnsi="宋体" w:eastAsia="宋体" w:cs="宋体"/>
          <w:bCs/>
          <w:color w:val="auto"/>
          <w:kern w:val="0"/>
          <w:sz w:val="24"/>
          <w:szCs w:val="24"/>
          <w:highlight w:val="none"/>
          <w:u w:val="single"/>
          <w:lang w:eastAsia="zh-CN"/>
        </w:rPr>
      </w:pPr>
      <w:r>
        <w:rPr>
          <w:rFonts w:hint="eastAsia" w:ascii="宋体" w:hAnsi="宋体" w:eastAsia="宋体" w:cs="宋体"/>
          <w:color w:val="auto"/>
          <w:sz w:val="24"/>
          <w:szCs w:val="24"/>
          <w:highlight w:val="none"/>
        </w:rPr>
        <w:t xml:space="preserve">1.5.2 </w:t>
      </w:r>
      <w:r>
        <w:rPr>
          <w:rFonts w:hint="eastAsia" w:ascii="宋体" w:hAnsi="宋体" w:eastAsia="宋体" w:cs="宋体"/>
          <w:bCs/>
          <w:color w:val="auto"/>
          <w:kern w:val="0"/>
          <w:sz w:val="24"/>
          <w:szCs w:val="24"/>
          <w:highlight w:val="none"/>
        </w:rPr>
        <w:t>服务地点：</w:t>
      </w:r>
      <w:r>
        <w:rPr>
          <w:rFonts w:hint="eastAsia" w:ascii="宋体" w:hAnsi="宋体" w:eastAsia="宋体" w:cs="宋体"/>
          <w:bCs/>
          <w:color w:val="auto"/>
          <w:kern w:val="0"/>
          <w:sz w:val="24"/>
          <w:szCs w:val="24"/>
          <w:highlight w:val="none"/>
          <w:lang w:eastAsia="zh-CN"/>
        </w:rPr>
        <w:t>常熟市梅李人民医院</w:t>
      </w:r>
      <w:bookmarkStart w:id="127" w:name="_Toc24662"/>
      <w:bookmarkStart w:id="128" w:name="_Toc3079"/>
      <w:bookmarkStart w:id="129" w:name="_Toc8586"/>
      <w:bookmarkStart w:id="130" w:name="_Toc2375"/>
      <w:bookmarkStart w:id="131" w:name="_Toc5698"/>
      <w:r>
        <w:rPr>
          <w:rFonts w:hint="eastAsia" w:ascii="宋体" w:hAnsi="宋体" w:eastAsia="宋体" w:cs="宋体"/>
          <w:bCs/>
          <w:color w:val="auto"/>
          <w:kern w:val="0"/>
          <w:sz w:val="24"/>
          <w:szCs w:val="24"/>
          <w:highlight w:val="none"/>
          <w:lang w:eastAsia="zh-CN"/>
        </w:rPr>
        <w:t>。</w:t>
      </w:r>
    </w:p>
    <w:p w14:paraId="40838B67">
      <w:pPr>
        <w:keepNext w:val="0"/>
        <w:keepLines w:val="0"/>
        <w:pageBreakBefore w:val="0"/>
        <w:kinsoku/>
        <w:wordWrap/>
        <w:overflowPunct/>
        <w:topLinePunct w:val="0"/>
        <w:bidi w:val="0"/>
        <w:snapToGrid/>
        <w:spacing w:line="46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1.6 双方权利义务：</w:t>
      </w:r>
    </w:p>
    <w:p w14:paraId="0E66F54A">
      <w:pPr>
        <w:keepNext w:val="0"/>
        <w:keepLines w:val="0"/>
        <w:pageBreakBefore w:val="0"/>
        <w:kinsoku/>
        <w:wordWrap/>
        <w:overflowPunct/>
        <w:topLinePunct w:val="0"/>
        <w:bidi w:val="0"/>
        <w:snapToGrid/>
        <w:spacing w:line="46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1.6.1甲方权利义务</w:t>
      </w:r>
    </w:p>
    <w:p w14:paraId="2F40F3CB">
      <w:pPr>
        <w:keepNext w:val="0"/>
        <w:keepLines w:val="0"/>
        <w:pageBreakBefore w:val="0"/>
        <w:kinsoku/>
        <w:wordWrap/>
        <w:overflowPunct/>
        <w:topLinePunct w:val="0"/>
        <w:bidi w:val="0"/>
        <w:snapToGrid/>
        <w:spacing w:line="46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r>
        <w:rPr>
          <w:rFonts w:hint="eastAsia" w:ascii="宋体" w:hAnsi="宋体" w:eastAsia="宋体" w:cs="宋体"/>
          <w:bCs/>
          <w:color w:val="000000"/>
          <w:sz w:val="24"/>
          <w:highlight w:val="none"/>
        </w:rPr>
        <w:t>甲方有权随时向乙方了解服务进展，提出改进意见和建议；甲方有权根据实际履约质量和进度情况要求乙方按照本合同约定加强管理直至提供符合约定的服务</w:t>
      </w:r>
      <w:r>
        <w:rPr>
          <w:rFonts w:hint="eastAsia" w:ascii="宋体" w:hAnsi="宋体" w:eastAsia="宋体" w:cs="宋体"/>
          <w:color w:val="auto"/>
          <w:sz w:val="24"/>
          <w:szCs w:val="24"/>
          <w:highlight w:val="none"/>
        </w:rPr>
        <w:t>。</w:t>
      </w:r>
    </w:p>
    <w:p w14:paraId="03A949A8">
      <w:pPr>
        <w:keepNext w:val="0"/>
        <w:keepLines w:val="0"/>
        <w:pageBreakBefore w:val="0"/>
        <w:kinsoku/>
        <w:wordWrap/>
        <w:overflowPunct/>
        <w:topLinePunct w:val="0"/>
        <w:bidi w:val="0"/>
        <w:snapToGrid/>
        <w:spacing w:line="46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r>
        <w:rPr>
          <w:rFonts w:hint="eastAsia" w:ascii="宋体" w:hAnsi="宋体" w:eastAsia="宋体" w:cs="宋体"/>
          <w:bCs/>
          <w:color w:val="000000"/>
          <w:sz w:val="24"/>
          <w:highlight w:val="none"/>
        </w:rPr>
        <w:t>甲方应按时支付合同价款；为乙方履行合同提供必要的便利条件；本合同约定的其他义务</w:t>
      </w:r>
      <w:r>
        <w:rPr>
          <w:rFonts w:hint="eastAsia" w:ascii="宋体" w:hAnsi="宋体" w:eastAsia="宋体" w:cs="宋体"/>
          <w:color w:val="auto"/>
          <w:sz w:val="24"/>
          <w:szCs w:val="24"/>
          <w:highlight w:val="none"/>
        </w:rPr>
        <w:t>。</w:t>
      </w:r>
    </w:p>
    <w:p w14:paraId="0686E6F9">
      <w:pPr>
        <w:keepNext w:val="0"/>
        <w:keepLines w:val="0"/>
        <w:pageBreakBefore w:val="0"/>
        <w:kinsoku/>
        <w:wordWrap/>
        <w:overflowPunct/>
        <w:topLinePunct w:val="0"/>
        <w:bidi w:val="0"/>
        <w:snapToGrid/>
        <w:spacing w:line="46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1.6.2乙方权利义务</w:t>
      </w:r>
    </w:p>
    <w:p w14:paraId="07DB6ED3">
      <w:pPr>
        <w:keepNext w:val="0"/>
        <w:keepLines w:val="0"/>
        <w:pageBreakBefore w:val="0"/>
        <w:kinsoku/>
        <w:wordWrap/>
        <w:overflowPunct/>
        <w:topLinePunct w:val="0"/>
        <w:bidi w:val="0"/>
        <w:snapToGrid/>
        <w:spacing w:line="460" w:lineRule="exact"/>
        <w:ind w:firstLine="480" w:firstLineChars="20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（1）</w:t>
      </w:r>
      <w:r>
        <w:rPr>
          <w:rFonts w:hint="eastAsia" w:ascii="宋体" w:hAnsi="宋体" w:eastAsia="宋体" w:cs="宋体"/>
          <w:bCs/>
          <w:color w:val="000000"/>
          <w:sz w:val="24"/>
          <w:highlight w:val="none"/>
        </w:rPr>
        <w:t>乙方有权按照合同获得合同价款；乙方有权根据服务内容的需要，请求甲方予以配合</w:t>
      </w:r>
      <w:r>
        <w:rPr>
          <w:rFonts w:hint="eastAsia" w:ascii="宋体" w:hAnsi="宋体" w:eastAsia="宋体" w:cs="宋体"/>
          <w:color w:val="auto"/>
          <w:sz w:val="24"/>
          <w:szCs w:val="24"/>
          <w:highlight w:val="none"/>
          <w:lang w:eastAsia="zh-CN"/>
        </w:rPr>
        <w:t>。</w:t>
      </w:r>
    </w:p>
    <w:p w14:paraId="0863BE0C">
      <w:pPr>
        <w:keepNext w:val="0"/>
        <w:keepLines w:val="0"/>
        <w:pageBreakBefore w:val="0"/>
        <w:kinsoku/>
        <w:wordWrap/>
        <w:overflowPunct/>
        <w:topLinePunct w:val="0"/>
        <w:bidi w:val="0"/>
        <w:snapToGrid/>
        <w:spacing w:line="460" w:lineRule="exact"/>
        <w:ind w:firstLine="480" w:firstLineChars="20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（2）</w:t>
      </w:r>
      <w:r>
        <w:rPr>
          <w:rFonts w:hint="eastAsia" w:ascii="宋体" w:hAnsi="宋体" w:eastAsia="宋体" w:cs="宋体"/>
          <w:bCs/>
          <w:color w:val="000000"/>
          <w:sz w:val="24"/>
          <w:highlight w:val="none"/>
        </w:rPr>
        <w:t>除其他有关条款的约定外，乙方义务还包括：</w:t>
      </w:r>
    </w:p>
    <w:p w14:paraId="780F9E9A">
      <w:pPr>
        <w:spacing w:line="440" w:lineRule="exact"/>
        <w:ind w:firstLine="513" w:firstLineChars="214"/>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fldChar w:fldCharType="begin"/>
      </w:r>
      <w:r>
        <w:rPr>
          <w:rFonts w:hint="eastAsia" w:ascii="宋体" w:hAnsi="宋体" w:eastAsia="宋体" w:cs="宋体"/>
          <w:bCs/>
          <w:color w:val="000000"/>
          <w:sz w:val="24"/>
          <w:highlight w:val="none"/>
        </w:rPr>
        <w:instrText xml:space="preserve"> = 1 \* GB3 </w:instrText>
      </w:r>
      <w:r>
        <w:rPr>
          <w:rFonts w:hint="eastAsia" w:ascii="宋体" w:hAnsi="宋体" w:eastAsia="宋体" w:cs="宋体"/>
          <w:bCs/>
          <w:color w:val="000000"/>
          <w:sz w:val="24"/>
          <w:highlight w:val="none"/>
        </w:rPr>
        <w:fldChar w:fldCharType="separate"/>
      </w:r>
      <w:r>
        <w:rPr>
          <w:rFonts w:hint="eastAsia" w:ascii="宋体" w:hAnsi="宋体" w:eastAsia="宋体" w:cs="宋体"/>
          <w:bCs/>
          <w:color w:val="000000"/>
          <w:sz w:val="24"/>
          <w:highlight w:val="none"/>
        </w:rPr>
        <w:t>①</w:t>
      </w:r>
      <w:r>
        <w:rPr>
          <w:rFonts w:hint="eastAsia" w:ascii="宋体" w:hAnsi="宋体" w:eastAsia="宋体" w:cs="宋体"/>
          <w:bCs/>
          <w:color w:val="000000"/>
          <w:sz w:val="24"/>
          <w:highlight w:val="none"/>
        </w:rPr>
        <w:fldChar w:fldCharType="end"/>
      </w:r>
      <w:r>
        <w:rPr>
          <w:rFonts w:hint="eastAsia" w:ascii="宋体" w:hAnsi="宋体" w:eastAsia="宋体" w:cs="宋体"/>
          <w:bCs/>
          <w:color w:val="000000"/>
          <w:sz w:val="24"/>
          <w:highlight w:val="none"/>
        </w:rPr>
        <w:t>乙方承诺参与政府采购时显示的服务能力不会减弱，包括服务人员团队人员不减少、服务资质不下降、团队具备的人才技能不下降。除了提升人员资质和执业等级（如有）或引进新的人才，如果乙方服务团队人员减少或资质不达标的，视为乙方丧失提供服务的能力。</w:t>
      </w:r>
    </w:p>
    <w:p w14:paraId="0A4465D8">
      <w:pPr>
        <w:spacing w:line="440" w:lineRule="exact"/>
        <w:ind w:firstLine="513" w:firstLineChars="214"/>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fldChar w:fldCharType="begin"/>
      </w:r>
      <w:r>
        <w:rPr>
          <w:rFonts w:hint="eastAsia" w:ascii="宋体" w:hAnsi="宋体" w:eastAsia="宋体" w:cs="宋体"/>
          <w:bCs/>
          <w:color w:val="000000"/>
          <w:sz w:val="24"/>
          <w:highlight w:val="none"/>
        </w:rPr>
        <w:instrText xml:space="preserve"> = 2 \* GB3 </w:instrText>
      </w:r>
      <w:r>
        <w:rPr>
          <w:rFonts w:hint="eastAsia" w:ascii="宋体" w:hAnsi="宋体" w:eastAsia="宋体" w:cs="宋体"/>
          <w:bCs/>
          <w:color w:val="000000"/>
          <w:sz w:val="24"/>
          <w:highlight w:val="none"/>
        </w:rPr>
        <w:fldChar w:fldCharType="separate"/>
      </w:r>
      <w:r>
        <w:rPr>
          <w:rFonts w:hint="eastAsia" w:ascii="宋体" w:hAnsi="宋体" w:eastAsia="宋体" w:cs="宋体"/>
          <w:bCs/>
          <w:color w:val="000000"/>
          <w:sz w:val="24"/>
          <w:highlight w:val="none"/>
        </w:rPr>
        <w:t>②</w:t>
      </w:r>
      <w:r>
        <w:rPr>
          <w:rFonts w:hint="eastAsia" w:ascii="宋体" w:hAnsi="宋体" w:eastAsia="宋体" w:cs="宋体"/>
          <w:bCs/>
          <w:color w:val="000000"/>
          <w:sz w:val="24"/>
          <w:highlight w:val="none"/>
        </w:rPr>
        <w:fldChar w:fldCharType="end"/>
      </w:r>
      <w:r>
        <w:rPr>
          <w:rFonts w:hint="eastAsia" w:ascii="宋体" w:hAnsi="宋体" w:eastAsia="宋体" w:cs="宋体"/>
          <w:bCs/>
          <w:color w:val="000000"/>
          <w:sz w:val="24"/>
          <w:highlight w:val="none"/>
        </w:rPr>
        <w:t>乙方应安排身体健康、品性良好的服务人员为甲方提供服务。</w:t>
      </w:r>
    </w:p>
    <w:p w14:paraId="7D03D885">
      <w:pPr>
        <w:spacing w:line="440" w:lineRule="exact"/>
        <w:ind w:firstLine="513" w:firstLineChars="214"/>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fldChar w:fldCharType="begin"/>
      </w:r>
      <w:r>
        <w:rPr>
          <w:rFonts w:hint="eastAsia" w:ascii="宋体" w:hAnsi="宋体" w:eastAsia="宋体" w:cs="宋体"/>
          <w:bCs/>
          <w:color w:val="000000"/>
          <w:sz w:val="24"/>
          <w:highlight w:val="none"/>
        </w:rPr>
        <w:instrText xml:space="preserve"> = 3 \* GB3 </w:instrText>
      </w:r>
      <w:r>
        <w:rPr>
          <w:rFonts w:hint="eastAsia" w:ascii="宋体" w:hAnsi="宋体" w:eastAsia="宋体" w:cs="宋体"/>
          <w:bCs/>
          <w:color w:val="000000"/>
          <w:sz w:val="24"/>
          <w:highlight w:val="none"/>
        </w:rPr>
        <w:fldChar w:fldCharType="separate"/>
      </w:r>
      <w:r>
        <w:rPr>
          <w:rFonts w:hint="eastAsia" w:ascii="宋体" w:hAnsi="宋体" w:eastAsia="宋体" w:cs="宋体"/>
          <w:bCs/>
          <w:color w:val="000000"/>
          <w:sz w:val="24"/>
          <w:highlight w:val="none"/>
        </w:rPr>
        <w:t>③</w:t>
      </w:r>
      <w:r>
        <w:rPr>
          <w:rFonts w:hint="eastAsia" w:ascii="宋体" w:hAnsi="宋体" w:eastAsia="宋体" w:cs="宋体"/>
          <w:bCs/>
          <w:color w:val="000000"/>
          <w:sz w:val="24"/>
          <w:highlight w:val="none"/>
        </w:rPr>
        <w:fldChar w:fldCharType="end"/>
      </w:r>
      <w:r>
        <w:rPr>
          <w:rFonts w:hint="eastAsia" w:ascii="宋体" w:hAnsi="宋体" w:eastAsia="宋体" w:cs="宋体"/>
          <w:bCs/>
          <w:color w:val="000000"/>
          <w:sz w:val="24"/>
          <w:highlight w:val="none"/>
        </w:rPr>
        <w:t>乙方应保证服务人员的稳定，未经甲方同意，不得变更服务人员。</w:t>
      </w:r>
    </w:p>
    <w:p w14:paraId="17966A58">
      <w:pPr>
        <w:spacing w:line="440" w:lineRule="exact"/>
        <w:ind w:firstLine="513" w:firstLineChars="214"/>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fldChar w:fldCharType="begin"/>
      </w:r>
      <w:r>
        <w:rPr>
          <w:rFonts w:hint="eastAsia" w:ascii="宋体" w:hAnsi="宋体" w:eastAsia="宋体" w:cs="宋体"/>
          <w:bCs/>
          <w:color w:val="000000"/>
          <w:sz w:val="24"/>
          <w:highlight w:val="none"/>
        </w:rPr>
        <w:instrText xml:space="preserve"> = 4 \* GB3 </w:instrText>
      </w:r>
      <w:r>
        <w:rPr>
          <w:rFonts w:hint="eastAsia" w:ascii="宋体" w:hAnsi="宋体" w:eastAsia="宋体" w:cs="宋体"/>
          <w:bCs/>
          <w:color w:val="000000"/>
          <w:sz w:val="24"/>
          <w:highlight w:val="none"/>
        </w:rPr>
        <w:fldChar w:fldCharType="separate"/>
      </w:r>
      <w:r>
        <w:rPr>
          <w:rFonts w:hint="eastAsia" w:ascii="宋体" w:hAnsi="宋体" w:eastAsia="宋体" w:cs="宋体"/>
          <w:bCs/>
          <w:color w:val="000000"/>
          <w:sz w:val="24"/>
          <w:highlight w:val="none"/>
        </w:rPr>
        <w:t>④</w:t>
      </w:r>
      <w:r>
        <w:rPr>
          <w:rFonts w:hint="eastAsia" w:ascii="宋体" w:hAnsi="宋体" w:eastAsia="宋体" w:cs="宋体"/>
          <w:bCs/>
          <w:color w:val="000000"/>
          <w:sz w:val="24"/>
          <w:highlight w:val="none"/>
        </w:rPr>
        <w:fldChar w:fldCharType="end"/>
      </w:r>
      <w:r>
        <w:rPr>
          <w:rFonts w:hint="eastAsia" w:ascii="宋体" w:hAnsi="宋体" w:eastAsia="宋体" w:cs="宋体"/>
          <w:bCs/>
          <w:color w:val="000000"/>
          <w:sz w:val="24"/>
          <w:highlight w:val="none"/>
        </w:rPr>
        <w:t>乙方应当及时响应甲方的服务需求，在甲方提出派</w:t>
      </w:r>
      <w:r>
        <w:rPr>
          <w:rFonts w:hint="eastAsia" w:ascii="宋体" w:hAnsi="宋体" w:cs="宋体"/>
          <w:bCs/>
          <w:color w:val="000000"/>
          <w:sz w:val="24"/>
          <w:highlight w:val="none"/>
          <w:lang w:val="en-US" w:eastAsia="zh-CN"/>
        </w:rPr>
        <w:t>人</w:t>
      </w:r>
      <w:r>
        <w:rPr>
          <w:rFonts w:hint="eastAsia" w:ascii="宋体" w:hAnsi="宋体" w:eastAsia="宋体" w:cs="宋体"/>
          <w:bCs/>
          <w:color w:val="000000"/>
          <w:sz w:val="24"/>
          <w:highlight w:val="none"/>
        </w:rPr>
        <w:t>员到场服务时，应当与甲方确定到场时间。甲方紧急服务需求时</w:t>
      </w:r>
      <w:r>
        <w:rPr>
          <w:rFonts w:hint="eastAsia" w:ascii="宋体" w:hAnsi="宋体" w:cs="宋体"/>
          <w:bCs/>
          <w:color w:val="000000"/>
          <w:sz w:val="24"/>
          <w:highlight w:val="none"/>
          <w:lang w:eastAsia="zh-CN"/>
        </w:rPr>
        <w:t>（</w:t>
      </w:r>
      <w:r>
        <w:rPr>
          <w:rFonts w:hint="eastAsia" w:ascii="宋体" w:hAnsi="宋体" w:cs="宋体"/>
          <w:bCs/>
          <w:color w:val="000000"/>
          <w:sz w:val="24"/>
          <w:highlight w:val="none"/>
          <w:lang w:val="en-US" w:eastAsia="zh-CN"/>
        </w:rPr>
        <w:t>例如临时烧制</w:t>
      </w:r>
      <w:r>
        <w:rPr>
          <w:rFonts w:hint="eastAsia" w:ascii="宋体" w:hAnsi="宋体" w:cs="宋体"/>
          <w:bCs/>
          <w:color w:val="000000"/>
          <w:sz w:val="24"/>
          <w:highlight w:val="none"/>
          <w:lang w:eastAsia="zh-CN"/>
        </w:rPr>
        <w:t>）</w:t>
      </w:r>
      <w:r>
        <w:rPr>
          <w:rFonts w:hint="eastAsia" w:ascii="宋体" w:hAnsi="宋体" w:eastAsia="宋体" w:cs="宋体"/>
          <w:bCs/>
          <w:color w:val="000000"/>
          <w:sz w:val="24"/>
          <w:highlight w:val="none"/>
        </w:rPr>
        <w:t>，乙方应在</w:t>
      </w:r>
      <w:r>
        <w:rPr>
          <w:rFonts w:hint="eastAsia" w:ascii="宋体" w:hAnsi="宋体" w:eastAsia="宋体" w:cs="宋体"/>
          <w:bCs/>
          <w:color w:val="000000"/>
          <w:sz w:val="24"/>
          <w:highlight w:val="none"/>
          <w:u w:val="single"/>
        </w:rPr>
        <w:t xml:space="preserve"> </w:t>
      </w:r>
      <w:r>
        <w:rPr>
          <w:rFonts w:hint="eastAsia" w:ascii="宋体" w:hAnsi="宋体" w:cs="宋体"/>
          <w:bCs/>
          <w:color w:val="000000"/>
          <w:sz w:val="24"/>
          <w:highlight w:val="none"/>
          <w:u w:val="single"/>
          <w:lang w:val="en-US" w:eastAsia="zh-CN"/>
        </w:rPr>
        <w:t>6</w:t>
      </w:r>
      <w:r>
        <w:rPr>
          <w:rFonts w:hint="eastAsia" w:ascii="宋体" w:hAnsi="宋体" w:eastAsia="宋体" w:cs="宋体"/>
          <w:bCs/>
          <w:color w:val="000000"/>
          <w:sz w:val="24"/>
          <w:highlight w:val="none"/>
          <w:u w:val="single"/>
        </w:rPr>
        <w:t xml:space="preserve">0 </w:t>
      </w:r>
      <w:r>
        <w:rPr>
          <w:rFonts w:hint="eastAsia" w:ascii="宋体" w:hAnsi="宋体" w:eastAsia="宋体" w:cs="宋体"/>
          <w:bCs/>
          <w:color w:val="000000"/>
          <w:sz w:val="24"/>
          <w:highlight w:val="none"/>
        </w:rPr>
        <w:t>分钟内派</w:t>
      </w:r>
      <w:r>
        <w:rPr>
          <w:rFonts w:hint="eastAsia" w:ascii="宋体" w:hAnsi="宋体" w:cs="宋体"/>
          <w:bCs/>
          <w:color w:val="000000"/>
          <w:sz w:val="24"/>
          <w:highlight w:val="none"/>
          <w:lang w:val="en-US" w:eastAsia="zh-CN"/>
        </w:rPr>
        <w:t>人</w:t>
      </w:r>
      <w:r>
        <w:rPr>
          <w:rFonts w:hint="eastAsia" w:ascii="宋体" w:hAnsi="宋体" w:eastAsia="宋体" w:cs="宋体"/>
          <w:bCs/>
          <w:color w:val="000000"/>
          <w:sz w:val="24"/>
          <w:highlight w:val="none"/>
        </w:rPr>
        <w:t>员到场。</w:t>
      </w:r>
    </w:p>
    <w:p w14:paraId="007A678C">
      <w:pPr>
        <w:spacing w:line="440" w:lineRule="exact"/>
        <w:ind w:firstLine="513" w:firstLineChars="214"/>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fldChar w:fldCharType="begin"/>
      </w:r>
      <w:r>
        <w:rPr>
          <w:rFonts w:hint="eastAsia" w:ascii="宋体" w:hAnsi="宋体" w:eastAsia="宋体" w:cs="宋体"/>
          <w:bCs/>
          <w:color w:val="000000"/>
          <w:sz w:val="24"/>
          <w:highlight w:val="none"/>
        </w:rPr>
        <w:instrText xml:space="preserve"> = 5 \* GB3 </w:instrText>
      </w:r>
      <w:r>
        <w:rPr>
          <w:rFonts w:hint="eastAsia" w:ascii="宋体" w:hAnsi="宋体" w:eastAsia="宋体" w:cs="宋体"/>
          <w:bCs/>
          <w:color w:val="000000"/>
          <w:sz w:val="24"/>
          <w:highlight w:val="none"/>
        </w:rPr>
        <w:fldChar w:fldCharType="separate"/>
      </w:r>
      <w:r>
        <w:rPr>
          <w:rFonts w:hint="eastAsia" w:ascii="宋体" w:hAnsi="宋体" w:eastAsia="宋体" w:cs="宋体"/>
          <w:bCs/>
          <w:color w:val="000000"/>
          <w:sz w:val="24"/>
          <w:highlight w:val="none"/>
        </w:rPr>
        <w:t>⑤</w:t>
      </w:r>
      <w:r>
        <w:rPr>
          <w:rFonts w:hint="eastAsia" w:ascii="宋体" w:hAnsi="宋体" w:eastAsia="宋体" w:cs="宋体"/>
          <w:bCs/>
          <w:color w:val="000000"/>
          <w:sz w:val="24"/>
          <w:highlight w:val="none"/>
        </w:rPr>
        <w:fldChar w:fldCharType="end"/>
      </w:r>
      <w:r>
        <w:rPr>
          <w:rFonts w:hint="eastAsia" w:ascii="宋体" w:hAnsi="宋体" w:eastAsia="宋体" w:cs="宋体"/>
          <w:bCs/>
          <w:color w:val="000000"/>
          <w:sz w:val="24"/>
          <w:highlight w:val="none"/>
        </w:rPr>
        <w:t>定期组织服务人员进行培训学习，不断提高服务人员业务技能。</w:t>
      </w:r>
    </w:p>
    <w:p w14:paraId="72E31476">
      <w:pPr>
        <w:spacing w:line="440" w:lineRule="exact"/>
        <w:ind w:firstLine="513" w:firstLineChars="214"/>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fldChar w:fldCharType="begin"/>
      </w:r>
      <w:r>
        <w:rPr>
          <w:rFonts w:hint="eastAsia" w:ascii="宋体" w:hAnsi="宋体" w:eastAsia="宋体" w:cs="宋体"/>
          <w:bCs/>
          <w:color w:val="000000"/>
          <w:sz w:val="24"/>
          <w:highlight w:val="none"/>
        </w:rPr>
        <w:instrText xml:space="preserve"> = 6 \* GB3 </w:instrText>
      </w:r>
      <w:r>
        <w:rPr>
          <w:rFonts w:hint="eastAsia" w:ascii="宋体" w:hAnsi="宋体" w:eastAsia="宋体" w:cs="宋体"/>
          <w:bCs/>
          <w:color w:val="000000"/>
          <w:sz w:val="24"/>
          <w:highlight w:val="none"/>
        </w:rPr>
        <w:fldChar w:fldCharType="separate"/>
      </w:r>
      <w:r>
        <w:rPr>
          <w:rFonts w:hint="eastAsia" w:ascii="宋体" w:hAnsi="宋体" w:eastAsia="宋体" w:cs="宋体"/>
          <w:bCs/>
          <w:color w:val="000000"/>
          <w:sz w:val="24"/>
          <w:highlight w:val="none"/>
        </w:rPr>
        <w:t>⑥</w:t>
      </w:r>
      <w:r>
        <w:rPr>
          <w:rFonts w:hint="eastAsia" w:ascii="宋体" w:hAnsi="宋体" w:eastAsia="宋体" w:cs="宋体"/>
          <w:bCs/>
          <w:color w:val="000000"/>
          <w:sz w:val="24"/>
          <w:highlight w:val="none"/>
        </w:rPr>
        <w:fldChar w:fldCharType="end"/>
      </w:r>
      <w:r>
        <w:rPr>
          <w:rFonts w:hint="eastAsia" w:ascii="宋体" w:hAnsi="宋体" w:eastAsia="宋体" w:cs="宋体"/>
          <w:bCs/>
          <w:color w:val="000000"/>
          <w:sz w:val="24"/>
          <w:highlight w:val="none"/>
        </w:rPr>
        <w:t>乙方做好安全生产工作，对在工作中出现的服务人员的人身安全承担责任，并对由于服务人员的原因导致的第三人的人身财产损失承担赔偿责任。</w:t>
      </w:r>
    </w:p>
    <w:p w14:paraId="0C94F253">
      <w:pPr>
        <w:spacing w:line="440" w:lineRule="exact"/>
        <w:ind w:firstLine="513" w:firstLineChars="214"/>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fldChar w:fldCharType="begin"/>
      </w:r>
      <w:r>
        <w:rPr>
          <w:rFonts w:hint="eastAsia" w:ascii="宋体" w:hAnsi="宋体" w:eastAsia="宋体" w:cs="宋体"/>
          <w:bCs/>
          <w:color w:val="000000"/>
          <w:sz w:val="24"/>
          <w:highlight w:val="none"/>
        </w:rPr>
        <w:instrText xml:space="preserve"> = 7 \* GB3 </w:instrText>
      </w:r>
      <w:r>
        <w:rPr>
          <w:rFonts w:hint="eastAsia" w:ascii="宋体" w:hAnsi="宋体" w:eastAsia="宋体" w:cs="宋体"/>
          <w:bCs/>
          <w:color w:val="000000"/>
          <w:sz w:val="24"/>
          <w:highlight w:val="none"/>
        </w:rPr>
        <w:fldChar w:fldCharType="separate"/>
      </w:r>
      <w:r>
        <w:rPr>
          <w:rFonts w:hint="eastAsia" w:ascii="宋体" w:hAnsi="宋体" w:eastAsia="宋体" w:cs="宋体"/>
          <w:bCs/>
          <w:color w:val="000000"/>
          <w:sz w:val="24"/>
          <w:highlight w:val="none"/>
        </w:rPr>
        <w:t>⑦</w:t>
      </w:r>
      <w:r>
        <w:rPr>
          <w:rFonts w:hint="eastAsia" w:ascii="宋体" w:hAnsi="宋体" w:eastAsia="宋体" w:cs="宋体"/>
          <w:bCs/>
          <w:color w:val="000000"/>
          <w:sz w:val="24"/>
          <w:highlight w:val="none"/>
        </w:rPr>
        <w:fldChar w:fldCharType="end"/>
      </w:r>
      <w:r>
        <w:rPr>
          <w:rFonts w:hint="eastAsia" w:ascii="宋体" w:hAnsi="宋体" w:eastAsia="宋体" w:cs="宋体"/>
          <w:bCs/>
          <w:color w:val="000000"/>
          <w:sz w:val="24"/>
          <w:highlight w:val="none"/>
        </w:rPr>
        <w:t>乙方应根据国家法律法规的规定与其为甲方提供服务的人员签署劳动合同，并负责上述人员的工资和社会劳动保险、奖金、福利等费用，若发生劳动争议均由乙方自己解决并承担所有责任，甲方无任何连带关系和责任。</w:t>
      </w:r>
    </w:p>
    <w:p w14:paraId="6BC00592">
      <w:pPr>
        <w:spacing w:line="440" w:lineRule="exact"/>
        <w:ind w:firstLine="513" w:firstLineChars="214"/>
        <w:rPr>
          <w:rFonts w:hint="eastAsia" w:ascii="宋体" w:hAnsi="宋体" w:eastAsia="宋体" w:cs="宋体"/>
          <w:color w:val="auto"/>
          <w:sz w:val="24"/>
          <w:szCs w:val="24"/>
          <w:highlight w:val="none"/>
          <w:lang w:eastAsia="zh-CN"/>
        </w:rPr>
      </w:pPr>
      <w:r>
        <w:rPr>
          <w:rFonts w:hint="eastAsia" w:ascii="宋体" w:hAnsi="宋体" w:eastAsia="宋体" w:cs="宋体"/>
          <w:bCs/>
          <w:color w:val="000000"/>
          <w:sz w:val="24"/>
          <w:highlight w:val="none"/>
        </w:rPr>
        <w:fldChar w:fldCharType="begin"/>
      </w:r>
      <w:r>
        <w:rPr>
          <w:rFonts w:hint="eastAsia" w:ascii="宋体" w:hAnsi="宋体" w:eastAsia="宋体" w:cs="宋体"/>
          <w:bCs/>
          <w:color w:val="000000"/>
          <w:sz w:val="24"/>
          <w:highlight w:val="none"/>
        </w:rPr>
        <w:instrText xml:space="preserve"> = 8 \* GB3 </w:instrText>
      </w:r>
      <w:r>
        <w:rPr>
          <w:rFonts w:hint="eastAsia" w:ascii="宋体" w:hAnsi="宋体" w:eastAsia="宋体" w:cs="宋体"/>
          <w:bCs/>
          <w:color w:val="000000"/>
          <w:sz w:val="24"/>
          <w:highlight w:val="none"/>
        </w:rPr>
        <w:fldChar w:fldCharType="separate"/>
      </w:r>
      <w:r>
        <w:rPr>
          <w:rFonts w:hint="eastAsia" w:ascii="宋体" w:hAnsi="宋体" w:eastAsia="宋体" w:cs="宋体"/>
          <w:bCs/>
          <w:color w:val="000000"/>
          <w:sz w:val="24"/>
          <w:highlight w:val="none"/>
        </w:rPr>
        <w:t>⑧</w:t>
      </w:r>
      <w:r>
        <w:rPr>
          <w:rFonts w:hint="eastAsia" w:ascii="宋体" w:hAnsi="宋体" w:eastAsia="宋体" w:cs="宋体"/>
          <w:bCs/>
          <w:color w:val="000000"/>
          <w:sz w:val="24"/>
          <w:highlight w:val="none"/>
        </w:rPr>
        <w:fldChar w:fldCharType="end"/>
      </w:r>
      <w:r>
        <w:rPr>
          <w:rFonts w:hint="eastAsia" w:ascii="宋体" w:hAnsi="宋体" w:eastAsia="宋体" w:cs="宋体"/>
          <w:bCs/>
          <w:color w:val="000000"/>
          <w:sz w:val="24"/>
          <w:highlight w:val="none"/>
        </w:rPr>
        <w:t>法规、政策规定由乙方承担的其他责任</w:t>
      </w:r>
      <w:r>
        <w:rPr>
          <w:rFonts w:hint="eastAsia" w:ascii="宋体" w:hAnsi="宋体" w:eastAsia="宋体" w:cs="宋体"/>
          <w:color w:val="auto"/>
          <w:sz w:val="24"/>
          <w:szCs w:val="24"/>
          <w:highlight w:val="none"/>
          <w:lang w:eastAsia="zh-CN"/>
        </w:rPr>
        <w:t>。</w:t>
      </w:r>
    </w:p>
    <w:bookmarkEnd w:id="127"/>
    <w:bookmarkEnd w:id="128"/>
    <w:bookmarkEnd w:id="129"/>
    <w:bookmarkEnd w:id="130"/>
    <w:bookmarkEnd w:id="131"/>
    <w:p w14:paraId="033E5C88">
      <w:pPr>
        <w:keepNext w:val="0"/>
        <w:keepLines w:val="0"/>
        <w:pageBreakBefore w:val="0"/>
        <w:kinsoku/>
        <w:wordWrap/>
        <w:overflowPunct/>
        <w:topLinePunct w:val="0"/>
        <w:bidi w:val="0"/>
        <w:snapToGrid/>
        <w:spacing w:line="460" w:lineRule="exact"/>
        <w:rPr>
          <w:rFonts w:hint="eastAsia" w:ascii="宋体" w:hAnsi="宋体" w:eastAsia="宋体" w:cs="宋体"/>
          <w:bCs/>
          <w:color w:val="auto"/>
          <w:kern w:val="0"/>
          <w:sz w:val="24"/>
          <w:szCs w:val="24"/>
          <w:highlight w:val="none"/>
          <w:u w:val="single"/>
        </w:rPr>
      </w:pPr>
      <w:r>
        <w:rPr>
          <w:rFonts w:hint="eastAsia" w:ascii="宋体" w:hAnsi="宋体" w:eastAsia="宋体" w:cs="宋体"/>
          <w:b/>
          <w:bCs/>
          <w:color w:val="auto"/>
          <w:kern w:val="0"/>
          <w:sz w:val="24"/>
          <w:szCs w:val="24"/>
          <w:highlight w:val="none"/>
        </w:rPr>
        <w:t>1.7 违约责任</w:t>
      </w:r>
    </w:p>
    <w:p w14:paraId="05660A3A">
      <w:pPr>
        <w:keepNext w:val="0"/>
        <w:keepLines w:val="0"/>
        <w:pageBreakBefore w:val="0"/>
        <w:kinsoku/>
        <w:wordWrap/>
        <w:overflowPunct/>
        <w:topLinePunct w:val="0"/>
        <w:bidi w:val="0"/>
        <w:snapToGrid/>
        <w:spacing w:line="460" w:lineRule="exact"/>
        <w:ind w:firstLine="480" w:firstLineChars="200"/>
        <w:rPr>
          <w:rFonts w:hint="eastAsia" w:ascii="宋体" w:hAnsi="宋体" w:eastAsia="宋体" w:cs="宋体"/>
          <w:bCs/>
          <w:color w:val="auto"/>
          <w:kern w:val="0"/>
          <w:sz w:val="24"/>
          <w:szCs w:val="24"/>
          <w:highlight w:val="none"/>
        </w:rPr>
      </w:pPr>
      <w:r>
        <w:rPr>
          <w:rFonts w:hint="eastAsia" w:ascii="宋体" w:hAnsi="宋体" w:eastAsia="宋体" w:cs="宋体"/>
          <w:bCs/>
          <w:color w:val="auto"/>
          <w:kern w:val="0"/>
          <w:sz w:val="24"/>
          <w:szCs w:val="24"/>
          <w:highlight w:val="none"/>
        </w:rPr>
        <w:t xml:space="preserve">1.7.1甲方未按合同规定期限向乙方支付合同价款的，每逾期一天向乙方偿付欠款总额 </w:t>
      </w:r>
      <w:r>
        <w:rPr>
          <w:rFonts w:hint="eastAsia" w:ascii="宋体" w:hAnsi="宋体" w:eastAsia="宋体" w:cs="宋体"/>
          <w:bCs/>
          <w:color w:val="auto"/>
          <w:kern w:val="0"/>
          <w:sz w:val="24"/>
          <w:szCs w:val="24"/>
          <w:highlight w:val="none"/>
          <w:u w:val="single"/>
        </w:rPr>
        <w:t xml:space="preserve">0.5 </w:t>
      </w:r>
      <w:r>
        <w:rPr>
          <w:rFonts w:hint="eastAsia" w:ascii="宋体" w:hAnsi="宋体" w:eastAsia="宋体" w:cs="宋体"/>
          <w:bCs/>
          <w:color w:val="auto"/>
          <w:kern w:val="0"/>
          <w:sz w:val="24"/>
          <w:szCs w:val="24"/>
          <w:highlight w:val="none"/>
        </w:rPr>
        <w:t>％的滞纳金，但累计总额不超过欠款总额的</w:t>
      </w:r>
      <w:r>
        <w:rPr>
          <w:rFonts w:hint="eastAsia" w:ascii="宋体" w:hAnsi="宋体" w:eastAsia="宋体" w:cs="宋体"/>
          <w:bCs/>
          <w:color w:val="auto"/>
          <w:kern w:val="0"/>
          <w:sz w:val="24"/>
          <w:szCs w:val="24"/>
          <w:highlight w:val="none"/>
          <w:u w:val="single"/>
        </w:rPr>
        <w:t xml:space="preserve"> 5 </w:t>
      </w:r>
      <w:r>
        <w:rPr>
          <w:rFonts w:hint="eastAsia" w:ascii="宋体" w:hAnsi="宋体" w:eastAsia="宋体" w:cs="宋体"/>
          <w:bCs/>
          <w:color w:val="auto"/>
          <w:kern w:val="0"/>
          <w:sz w:val="24"/>
          <w:szCs w:val="24"/>
          <w:highlight w:val="none"/>
        </w:rPr>
        <w:t>％。</w:t>
      </w:r>
    </w:p>
    <w:p w14:paraId="6C985DA0">
      <w:pPr>
        <w:keepNext w:val="0"/>
        <w:keepLines w:val="0"/>
        <w:pageBreakBefore w:val="0"/>
        <w:kinsoku/>
        <w:wordWrap/>
        <w:overflowPunct/>
        <w:topLinePunct w:val="0"/>
        <w:bidi w:val="0"/>
        <w:snapToGrid/>
        <w:spacing w:line="460" w:lineRule="exact"/>
        <w:ind w:firstLine="480" w:firstLineChars="200"/>
        <w:rPr>
          <w:rFonts w:hint="eastAsia" w:ascii="宋体" w:hAnsi="宋体" w:eastAsia="宋体" w:cs="宋体"/>
          <w:bCs/>
          <w:color w:val="auto"/>
          <w:kern w:val="0"/>
          <w:sz w:val="24"/>
          <w:szCs w:val="24"/>
          <w:highlight w:val="none"/>
        </w:rPr>
      </w:pPr>
      <w:r>
        <w:rPr>
          <w:rFonts w:hint="eastAsia" w:ascii="宋体" w:hAnsi="宋体" w:eastAsia="宋体" w:cs="宋体"/>
          <w:bCs/>
          <w:color w:val="auto"/>
          <w:kern w:val="0"/>
          <w:sz w:val="24"/>
          <w:szCs w:val="24"/>
          <w:highlight w:val="none"/>
        </w:rPr>
        <w:t>1.7.2</w:t>
      </w:r>
      <w:r>
        <w:rPr>
          <w:rFonts w:hint="eastAsia" w:ascii="宋体" w:hAnsi="宋体" w:eastAsia="宋体" w:cs="宋体"/>
          <w:bCs/>
          <w:color w:val="000000"/>
          <w:sz w:val="24"/>
          <w:highlight w:val="none"/>
        </w:rPr>
        <w:t>有下列情形之一的，乙方应当向甲方支付合同约定合同价款金额 10 %（或5万元，以金额较大的为准）的违约金</w:t>
      </w:r>
      <w:r>
        <w:rPr>
          <w:rFonts w:hint="eastAsia" w:ascii="宋体" w:hAnsi="宋体" w:eastAsia="宋体" w:cs="宋体"/>
          <w:bCs/>
          <w:color w:val="auto"/>
          <w:kern w:val="0"/>
          <w:sz w:val="24"/>
          <w:szCs w:val="24"/>
          <w:highlight w:val="none"/>
        </w:rPr>
        <w:t>。</w:t>
      </w:r>
    </w:p>
    <w:p w14:paraId="6D66162B">
      <w:pPr>
        <w:keepNext w:val="0"/>
        <w:keepLines w:val="0"/>
        <w:pageBreakBefore w:val="0"/>
        <w:kinsoku/>
        <w:wordWrap/>
        <w:overflowPunct/>
        <w:topLinePunct w:val="0"/>
        <w:bidi w:val="0"/>
        <w:snapToGrid/>
        <w:spacing w:line="460" w:lineRule="exact"/>
        <w:ind w:firstLine="720" w:firstLineChars="300"/>
        <w:rPr>
          <w:rFonts w:hint="eastAsia" w:ascii="宋体" w:hAnsi="宋体" w:eastAsia="宋体" w:cs="宋体"/>
          <w:bCs/>
          <w:color w:val="auto"/>
          <w:kern w:val="0"/>
          <w:sz w:val="24"/>
          <w:szCs w:val="24"/>
          <w:highlight w:val="none"/>
        </w:rPr>
      </w:pPr>
      <w:r>
        <w:rPr>
          <w:rFonts w:hint="eastAsia" w:ascii="宋体" w:hAnsi="宋体" w:eastAsia="宋体" w:cs="宋体"/>
          <w:bCs/>
          <w:color w:val="auto"/>
          <w:kern w:val="0"/>
          <w:sz w:val="24"/>
          <w:szCs w:val="24"/>
          <w:highlight w:val="none"/>
        </w:rPr>
        <w:t>1.7.2.1</w:t>
      </w:r>
      <w:r>
        <w:rPr>
          <w:rFonts w:hint="eastAsia" w:ascii="宋体" w:hAnsi="宋体" w:eastAsia="宋体" w:cs="宋体"/>
          <w:bCs/>
          <w:color w:val="000000"/>
          <w:sz w:val="24"/>
          <w:highlight w:val="none"/>
        </w:rPr>
        <w:t>乙方服务团队成员未经甲方同意发生变更，经甲方要求恢复后，未在合理期限内（</w:t>
      </w:r>
      <w:r>
        <w:rPr>
          <w:rFonts w:hint="eastAsia" w:ascii="宋体" w:hAnsi="宋体" w:eastAsia="宋体" w:cs="宋体"/>
          <w:bCs/>
          <w:color w:val="000000"/>
          <w:sz w:val="24"/>
          <w:highlight w:val="none"/>
          <w:u w:val="single"/>
        </w:rPr>
        <w:t xml:space="preserve"> 3个工作日内</w:t>
      </w:r>
      <w:r>
        <w:rPr>
          <w:rFonts w:hint="eastAsia" w:ascii="宋体" w:hAnsi="宋体" w:eastAsia="宋体" w:cs="宋体"/>
          <w:bCs/>
          <w:color w:val="000000"/>
          <w:sz w:val="24"/>
          <w:highlight w:val="none"/>
        </w:rPr>
        <w:t>）恢复的</w:t>
      </w:r>
      <w:r>
        <w:rPr>
          <w:rFonts w:hint="eastAsia" w:ascii="宋体" w:hAnsi="宋体" w:eastAsia="宋体" w:cs="宋体"/>
          <w:bCs/>
          <w:color w:val="auto"/>
          <w:kern w:val="0"/>
          <w:sz w:val="24"/>
          <w:szCs w:val="24"/>
          <w:highlight w:val="none"/>
        </w:rPr>
        <w:t>；</w:t>
      </w:r>
    </w:p>
    <w:p w14:paraId="5B1E4297">
      <w:pPr>
        <w:keepNext w:val="0"/>
        <w:keepLines w:val="0"/>
        <w:pageBreakBefore w:val="0"/>
        <w:kinsoku/>
        <w:wordWrap/>
        <w:overflowPunct/>
        <w:topLinePunct w:val="0"/>
        <w:bidi w:val="0"/>
        <w:snapToGrid/>
        <w:spacing w:line="460" w:lineRule="exact"/>
        <w:ind w:firstLine="720" w:firstLineChars="300"/>
        <w:rPr>
          <w:rFonts w:hint="eastAsia" w:ascii="宋体" w:hAnsi="宋体" w:eastAsia="宋体" w:cs="宋体"/>
          <w:bCs/>
          <w:color w:val="000000"/>
          <w:sz w:val="24"/>
          <w:highlight w:val="none"/>
        </w:rPr>
      </w:pPr>
      <w:r>
        <w:rPr>
          <w:rFonts w:hint="eastAsia" w:ascii="宋体" w:hAnsi="宋体" w:eastAsia="宋体" w:cs="宋体"/>
          <w:bCs/>
          <w:color w:val="auto"/>
          <w:kern w:val="0"/>
          <w:sz w:val="24"/>
          <w:szCs w:val="24"/>
          <w:highlight w:val="none"/>
        </w:rPr>
        <w:t>1.7.2.</w:t>
      </w:r>
      <w:r>
        <w:rPr>
          <w:rFonts w:hint="eastAsia" w:ascii="宋体" w:hAnsi="宋体" w:eastAsia="宋体" w:cs="宋体"/>
          <w:bCs/>
          <w:color w:val="000000"/>
          <w:sz w:val="24"/>
          <w:highlight w:val="none"/>
        </w:rPr>
        <w:t>2乙方单位总体服务能力发生下降，专业技术人员减员或资质不达标的；</w:t>
      </w:r>
    </w:p>
    <w:p w14:paraId="32ED8BD9">
      <w:pPr>
        <w:keepNext w:val="0"/>
        <w:keepLines w:val="0"/>
        <w:pageBreakBefore w:val="0"/>
        <w:kinsoku/>
        <w:wordWrap/>
        <w:overflowPunct/>
        <w:topLinePunct w:val="0"/>
        <w:bidi w:val="0"/>
        <w:snapToGrid/>
        <w:spacing w:line="460" w:lineRule="exact"/>
        <w:ind w:firstLine="720" w:firstLineChars="300"/>
        <w:rPr>
          <w:rFonts w:hint="eastAsia" w:ascii="宋体" w:hAnsi="宋体" w:eastAsia="宋体" w:cs="宋体"/>
          <w:bCs/>
          <w:color w:val="000000"/>
          <w:sz w:val="24"/>
          <w:highlight w:val="none"/>
        </w:rPr>
      </w:pPr>
      <w:r>
        <w:rPr>
          <w:rFonts w:hint="eastAsia" w:ascii="宋体" w:hAnsi="宋体" w:eastAsia="宋体" w:cs="宋体"/>
          <w:bCs/>
          <w:color w:val="auto"/>
          <w:kern w:val="0"/>
          <w:sz w:val="24"/>
          <w:szCs w:val="24"/>
          <w:highlight w:val="none"/>
        </w:rPr>
        <w:t>1.7.2.</w:t>
      </w:r>
      <w:r>
        <w:rPr>
          <w:rFonts w:hint="eastAsia" w:ascii="宋体" w:hAnsi="宋体" w:eastAsia="宋体" w:cs="宋体"/>
          <w:bCs/>
          <w:color w:val="000000"/>
          <w:sz w:val="24"/>
          <w:highlight w:val="none"/>
        </w:rPr>
        <w:t>3乙方人员无故未能按约到甲方提供服务，服务期限内达到</w:t>
      </w:r>
      <w:r>
        <w:rPr>
          <w:rFonts w:hint="eastAsia" w:ascii="宋体" w:hAnsi="宋体" w:eastAsia="宋体" w:cs="宋体"/>
          <w:bCs/>
          <w:color w:val="000000"/>
          <w:sz w:val="24"/>
          <w:highlight w:val="none"/>
          <w:u w:val="single"/>
        </w:rPr>
        <w:t xml:space="preserve"> 2 </w:t>
      </w:r>
      <w:r>
        <w:rPr>
          <w:rFonts w:hint="eastAsia" w:ascii="宋体" w:hAnsi="宋体" w:eastAsia="宋体" w:cs="宋体"/>
          <w:bCs/>
          <w:color w:val="000000"/>
          <w:sz w:val="24"/>
          <w:highlight w:val="none"/>
        </w:rPr>
        <w:t>人次的；</w:t>
      </w:r>
    </w:p>
    <w:p w14:paraId="5E1ADA5F">
      <w:pPr>
        <w:keepNext w:val="0"/>
        <w:keepLines w:val="0"/>
        <w:pageBreakBefore w:val="0"/>
        <w:kinsoku/>
        <w:wordWrap/>
        <w:overflowPunct/>
        <w:topLinePunct w:val="0"/>
        <w:bidi w:val="0"/>
        <w:snapToGrid/>
        <w:spacing w:line="460" w:lineRule="exact"/>
        <w:ind w:firstLine="720" w:firstLineChars="300"/>
        <w:rPr>
          <w:rFonts w:hint="eastAsia" w:ascii="宋体" w:hAnsi="宋体" w:eastAsia="宋体" w:cs="宋体"/>
          <w:bCs/>
          <w:color w:val="000000"/>
          <w:sz w:val="24"/>
          <w:highlight w:val="none"/>
        </w:rPr>
      </w:pPr>
      <w:r>
        <w:rPr>
          <w:rFonts w:hint="eastAsia" w:ascii="宋体" w:hAnsi="宋体" w:eastAsia="宋体" w:cs="宋体"/>
          <w:bCs/>
          <w:color w:val="auto"/>
          <w:kern w:val="0"/>
          <w:sz w:val="24"/>
          <w:szCs w:val="24"/>
          <w:highlight w:val="none"/>
        </w:rPr>
        <w:t>1.7.2.</w:t>
      </w:r>
      <w:r>
        <w:rPr>
          <w:rFonts w:hint="eastAsia" w:ascii="宋体" w:hAnsi="宋体" w:eastAsia="宋体" w:cs="宋体"/>
          <w:bCs/>
          <w:color w:val="000000"/>
          <w:sz w:val="24"/>
          <w:highlight w:val="none"/>
        </w:rPr>
        <w:t>4乙方人员不能响应甲方紧急服务需求的；</w:t>
      </w:r>
    </w:p>
    <w:p w14:paraId="473866D9">
      <w:pPr>
        <w:keepNext w:val="0"/>
        <w:keepLines w:val="0"/>
        <w:pageBreakBefore w:val="0"/>
        <w:kinsoku/>
        <w:wordWrap/>
        <w:overflowPunct/>
        <w:topLinePunct w:val="0"/>
        <w:bidi w:val="0"/>
        <w:snapToGrid/>
        <w:spacing w:line="460" w:lineRule="exact"/>
        <w:ind w:firstLine="720" w:firstLineChars="300"/>
        <w:rPr>
          <w:rFonts w:hint="eastAsia" w:ascii="宋体" w:hAnsi="宋体" w:eastAsia="宋体" w:cs="宋体"/>
          <w:bCs/>
          <w:color w:val="000000"/>
          <w:sz w:val="24"/>
          <w:highlight w:val="none"/>
        </w:rPr>
      </w:pPr>
      <w:r>
        <w:rPr>
          <w:rFonts w:hint="eastAsia" w:ascii="宋体" w:hAnsi="宋体" w:eastAsia="宋体" w:cs="宋体"/>
          <w:bCs/>
          <w:color w:val="auto"/>
          <w:kern w:val="0"/>
          <w:sz w:val="24"/>
          <w:szCs w:val="24"/>
          <w:highlight w:val="none"/>
        </w:rPr>
        <w:t>1.7.2.</w:t>
      </w:r>
      <w:r>
        <w:rPr>
          <w:rFonts w:hint="eastAsia" w:ascii="宋体" w:hAnsi="宋体" w:eastAsia="宋体" w:cs="宋体"/>
          <w:bCs/>
          <w:color w:val="000000"/>
          <w:sz w:val="24"/>
          <w:highlight w:val="none"/>
        </w:rPr>
        <w:t>5因乙方服务人员原因在服务期间给甲方造成不良影响的，服务期限内达到</w:t>
      </w:r>
      <w:r>
        <w:rPr>
          <w:rFonts w:hint="eastAsia" w:ascii="宋体" w:hAnsi="宋体" w:eastAsia="宋体" w:cs="宋体"/>
          <w:bCs/>
          <w:color w:val="000000"/>
          <w:sz w:val="24"/>
          <w:highlight w:val="none"/>
          <w:u w:val="single"/>
        </w:rPr>
        <w:t xml:space="preserve"> 1 </w:t>
      </w:r>
      <w:r>
        <w:rPr>
          <w:rFonts w:hint="eastAsia" w:ascii="宋体" w:hAnsi="宋体" w:eastAsia="宋体" w:cs="宋体"/>
          <w:bCs/>
          <w:color w:val="000000"/>
          <w:sz w:val="24"/>
          <w:highlight w:val="none"/>
        </w:rPr>
        <w:t>次的；</w:t>
      </w:r>
    </w:p>
    <w:p w14:paraId="59CE61BB">
      <w:pPr>
        <w:keepNext w:val="0"/>
        <w:keepLines w:val="0"/>
        <w:pageBreakBefore w:val="0"/>
        <w:kinsoku/>
        <w:wordWrap/>
        <w:overflowPunct/>
        <w:topLinePunct w:val="0"/>
        <w:bidi w:val="0"/>
        <w:snapToGrid/>
        <w:spacing w:line="460" w:lineRule="exact"/>
        <w:ind w:firstLine="720" w:firstLineChars="300"/>
        <w:rPr>
          <w:rFonts w:hint="eastAsia" w:ascii="宋体" w:hAnsi="宋体" w:eastAsia="宋体" w:cs="宋体"/>
          <w:bCs/>
          <w:color w:val="000000"/>
          <w:sz w:val="24"/>
          <w:highlight w:val="none"/>
        </w:rPr>
      </w:pPr>
      <w:r>
        <w:rPr>
          <w:rFonts w:hint="eastAsia" w:ascii="宋体" w:hAnsi="宋体" w:eastAsia="宋体" w:cs="宋体"/>
          <w:bCs/>
          <w:color w:val="auto"/>
          <w:kern w:val="0"/>
          <w:sz w:val="24"/>
          <w:szCs w:val="24"/>
          <w:highlight w:val="none"/>
        </w:rPr>
        <w:t>1.7.2.</w:t>
      </w:r>
      <w:r>
        <w:rPr>
          <w:rFonts w:hint="eastAsia" w:ascii="宋体" w:hAnsi="宋体" w:eastAsia="宋体" w:cs="宋体"/>
          <w:bCs/>
          <w:color w:val="000000"/>
          <w:sz w:val="24"/>
          <w:highlight w:val="none"/>
        </w:rPr>
        <w:t>6乙方及其服务人员虚报服务内容、服务时间等，骗取甲方服务费用的；</w:t>
      </w:r>
    </w:p>
    <w:p w14:paraId="31807081">
      <w:pPr>
        <w:keepNext w:val="0"/>
        <w:keepLines w:val="0"/>
        <w:pageBreakBefore w:val="0"/>
        <w:kinsoku/>
        <w:wordWrap/>
        <w:overflowPunct/>
        <w:topLinePunct w:val="0"/>
        <w:bidi w:val="0"/>
        <w:snapToGrid/>
        <w:spacing w:line="460" w:lineRule="exact"/>
        <w:ind w:firstLine="720" w:firstLineChars="300"/>
        <w:rPr>
          <w:rFonts w:hint="eastAsia" w:ascii="宋体" w:hAnsi="宋体" w:eastAsia="宋体" w:cs="宋体"/>
          <w:bCs/>
          <w:color w:val="auto"/>
          <w:kern w:val="0"/>
          <w:sz w:val="24"/>
          <w:szCs w:val="24"/>
          <w:highlight w:val="none"/>
          <w:lang w:val="en-US" w:eastAsia="zh-CN"/>
        </w:rPr>
      </w:pPr>
      <w:r>
        <w:rPr>
          <w:rFonts w:hint="eastAsia" w:ascii="宋体" w:hAnsi="宋体" w:eastAsia="宋体" w:cs="宋体"/>
          <w:bCs/>
          <w:color w:val="auto"/>
          <w:kern w:val="0"/>
          <w:sz w:val="24"/>
          <w:szCs w:val="24"/>
          <w:highlight w:val="none"/>
        </w:rPr>
        <w:t>1.7.2.</w:t>
      </w:r>
      <w:r>
        <w:rPr>
          <w:rFonts w:hint="eastAsia" w:ascii="宋体" w:hAnsi="宋体" w:eastAsia="宋体" w:cs="宋体"/>
          <w:bCs/>
          <w:color w:val="000000"/>
          <w:sz w:val="24"/>
          <w:highlight w:val="none"/>
        </w:rPr>
        <w:t>7根据第七条乙方义务，如乙方未按本合同规定提供相关服务或未能履行本合同规定的其他义务的，甲方有权依据考核结果结算当期服务费金额并要求乙方限期整改，逾期不整改或整改后仍达不到甲方要求的，甲方有权解除合同，由此造成甲方经济损失的，乙方应承担赔偿责任（列明具体赔偿的标准以及如何赔偿）。同时乙方应向甲方支付合同总价10 %（或5万元，以金额较大的为准）的违约金</w:t>
      </w:r>
      <w:r>
        <w:rPr>
          <w:rFonts w:hint="eastAsia" w:ascii="宋体" w:hAnsi="宋体" w:eastAsia="宋体" w:cs="宋体"/>
          <w:color w:val="auto"/>
          <w:sz w:val="24"/>
          <w:szCs w:val="24"/>
          <w:highlight w:val="none"/>
          <w:lang w:eastAsia="zh-CN"/>
        </w:rPr>
        <w:t>。</w:t>
      </w:r>
    </w:p>
    <w:p w14:paraId="045D2226">
      <w:pPr>
        <w:keepNext w:val="0"/>
        <w:keepLines w:val="0"/>
        <w:pageBreakBefore w:val="0"/>
        <w:kinsoku/>
        <w:wordWrap/>
        <w:overflowPunct/>
        <w:topLinePunct w:val="0"/>
        <w:bidi w:val="0"/>
        <w:snapToGrid/>
        <w:spacing w:line="460" w:lineRule="exact"/>
        <w:ind w:firstLine="480" w:firstLineChars="200"/>
        <w:rPr>
          <w:rFonts w:hint="eastAsia" w:ascii="宋体" w:hAnsi="宋体" w:eastAsia="宋体" w:cs="宋体"/>
          <w:bCs/>
          <w:color w:val="auto"/>
          <w:kern w:val="0"/>
          <w:sz w:val="24"/>
          <w:szCs w:val="24"/>
          <w:highlight w:val="none"/>
        </w:rPr>
      </w:pPr>
      <w:r>
        <w:rPr>
          <w:rFonts w:hint="eastAsia" w:ascii="宋体" w:hAnsi="宋体" w:eastAsia="宋体" w:cs="宋体"/>
          <w:bCs/>
          <w:color w:val="auto"/>
          <w:kern w:val="0"/>
          <w:sz w:val="24"/>
          <w:szCs w:val="24"/>
          <w:highlight w:val="none"/>
        </w:rPr>
        <w:t>1.7.3乙方在承担上述1.7.2项中一项或多项违约责任后，仍应继续履行合同规定的义务（甲方解除合同的除外）。甲方未能及时追究乙方的任何一项违约责任并不表明甲方放弃追究乙方该项或其他违约责任。</w:t>
      </w:r>
    </w:p>
    <w:p w14:paraId="2E291047">
      <w:pPr>
        <w:keepNext w:val="0"/>
        <w:keepLines w:val="0"/>
        <w:pageBreakBefore w:val="0"/>
        <w:kinsoku/>
        <w:wordWrap/>
        <w:overflowPunct/>
        <w:topLinePunct w:val="0"/>
        <w:bidi w:val="0"/>
        <w:snapToGrid/>
        <w:spacing w:line="460" w:lineRule="exact"/>
        <w:rPr>
          <w:rFonts w:hint="eastAsia" w:ascii="宋体" w:hAnsi="宋体" w:eastAsia="宋体" w:cs="宋体"/>
          <w:b/>
          <w:bCs/>
          <w:color w:val="auto"/>
          <w:kern w:val="0"/>
          <w:sz w:val="24"/>
          <w:szCs w:val="24"/>
          <w:highlight w:val="none"/>
        </w:rPr>
      </w:pPr>
      <w:bookmarkStart w:id="132" w:name="_Toc9497"/>
      <w:bookmarkStart w:id="133" w:name="_Toc32454"/>
      <w:bookmarkStart w:id="134" w:name="_Toc18683"/>
      <w:bookmarkStart w:id="135" w:name="_Toc30329"/>
      <w:bookmarkStart w:id="136" w:name="_Toc26807"/>
      <w:r>
        <w:rPr>
          <w:rFonts w:hint="eastAsia" w:ascii="宋体" w:hAnsi="宋体" w:eastAsia="宋体" w:cs="宋体"/>
          <w:b/>
          <w:bCs/>
          <w:color w:val="auto"/>
          <w:kern w:val="0"/>
          <w:sz w:val="24"/>
          <w:szCs w:val="24"/>
          <w:highlight w:val="none"/>
        </w:rPr>
        <w:t>1.8合同的解除</w:t>
      </w:r>
    </w:p>
    <w:p w14:paraId="1E5B9B81">
      <w:pPr>
        <w:keepNext w:val="0"/>
        <w:keepLines w:val="0"/>
        <w:pageBreakBefore w:val="0"/>
        <w:kinsoku/>
        <w:wordWrap/>
        <w:overflowPunct/>
        <w:topLinePunct w:val="0"/>
        <w:bidi w:val="0"/>
        <w:snapToGrid/>
        <w:spacing w:line="460" w:lineRule="exact"/>
        <w:rPr>
          <w:rFonts w:hint="eastAsia" w:ascii="宋体" w:hAnsi="宋体" w:eastAsia="宋体" w:cs="宋体"/>
          <w:bCs/>
          <w:color w:val="auto"/>
          <w:kern w:val="0"/>
          <w:sz w:val="24"/>
          <w:szCs w:val="24"/>
          <w:highlight w:val="none"/>
        </w:rPr>
      </w:pPr>
      <w:r>
        <w:rPr>
          <w:rFonts w:hint="eastAsia" w:ascii="宋体" w:hAnsi="宋体" w:eastAsia="宋体" w:cs="宋体"/>
          <w:bCs/>
          <w:color w:val="auto"/>
          <w:kern w:val="0"/>
          <w:sz w:val="24"/>
          <w:szCs w:val="24"/>
          <w:highlight w:val="none"/>
        </w:rPr>
        <w:t>出现下列情形之一的，甲方有权解除本合同：</w:t>
      </w:r>
    </w:p>
    <w:p w14:paraId="75C16DA2">
      <w:pPr>
        <w:keepNext w:val="0"/>
        <w:keepLines w:val="0"/>
        <w:pageBreakBefore w:val="0"/>
        <w:kinsoku/>
        <w:wordWrap/>
        <w:overflowPunct/>
        <w:topLinePunct w:val="0"/>
        <w:bidi w:val="0"/>
        <w:snapToGrid/>
        <w:spacing w:line="460" w:lineRule="exact"/>
        <w:ind w:firstLine="480" w:firstLineChars="200"/>
        <w:rPr>
          <w:rFonts w:hint="eastAsia" w:ascii="宋体" w:hAnsi="宋体" w:eastAsia="宋体" w:cs="宋体"/>
          <w:bCs/>
          <w:color w:val="auto"/>
          <w:kern w:val="0"/>
          <w:sz w:val="24"/>
          <w:szCs w:val="24"/>
          <w:highlight w:val="none"/>
        </w:rPr>
      </w:pPr>
      <w:r>
        <w:rPr>
          <w:rFonts w:hint="eastAsia" w:ascii="宋体" w:hAnsi="宋体" w:eastAsia="宋体" w:cs="宋体"/>
          <w:bCs/>
          <w:color w:val="auto"/>
          <w:kern w:val="0"/>
          <w:sz w:val="24"/>
          <w:szCs w:val="24"/>
          <w:highlight w:val="none"/>
          <w:lang w:val="en-US" w:eastAsia="zh-CN"/>
        </w:rPr>
        <w:t>1.8</w:t>
      </w:r>
      <w:r>
        <w:rPr>
          <w:rFonts w:hint="eastAsia" w:ascii="宋体" w:hAnsi="宋体" w:eastAsia="宋体" w:cs="宋体"/>
          <w:bCs/>
          <w:color w:val="auto"/>
          <w:kern w:val="0"/>
          <w:sz w:val="24"/>
          <w:szCs w:val="24"/>
          <w:highlight w:val="none"/>
        </w:rPr>
        <w:t>.1乙方单位总体服务能力发生下降，专业技术人员减员或资质不达标的；</w:t>
      </w:r>
    </w:p>
    <w:p w14:paraId="593F9976">
      <w:pPr>
        <w:keepNext w:val="0"/>
        <w:keepLines w:val="0"/>
        <w:pageBreakBefore w:val="0"/>
        <w:kinsoku/>
        <w:wordWrap/>
        <w:overflowPunct/>
        <w:topLinePunct w:val="0"/>
        <w:bidi w:val="0"/>
        <w:snapToGrid/>
        <w:spacing w:line="460" w:lineRule="exact"/>
        <w:ind w:firstLine="480" w:firstLineChars="200"/>
        <w:rPr>
          <w:rFonts w:hint="eastAsia" w:ascii="宋体" w:hAnsi="宋体" w:eastAsia="宋体" w:cs="宋体"/>
          <w:bCs/>
          <w:color w:val="auto"/>
          <w:kern w:val="0"/>
          <w:sz w:val="24"/>
          <w:szCs w:val="24"/>
          <w:highlight w:val="none"/>
        </w:rPr>
      </w:pPr>
      <w:r>
        <w:rPr>
          <w:rFonts w:hint="eastAsia" w:ascii="宋体" w:hAnsi="宋体" w:eastAsia="宋体" w:cs="宋体"/>
          <w:bCs/>
          <w:color w:val="auto"/>
          <w:kern w:val="0"/>
          <w:sz w:val="24"/>
          <w:szCs w:val="24"/>
          <w:highlight w:val="none"/>
          <w:lang w:val="en-US" w:eastAsia="zh-CN"/>
        </w:rPr>
        <w:t>1.8</w:t>
      </w:r>
      <w:r>
        <w:rPr>
          <w:rFonts w:hint="eastAsia" w:ascii="宋体" w:hAnsi="宋体" w:eastAsia="宋体" w:cs="宋体"/>
          <w:bCs/>
          <w:color w:val="auto"/>
          <w:kern w:val="0"/>
          <w:sz w:val="24"/>
          <w:szCs w:val="24"/>
          <w:highlight w:val="none"/>
        </w:rPr>
        <w:t>.2乙方人员无故未能按约到甲方提供服务，服务期限内达到 2 人次的；</w:t>
      </w:r>
    </w:p>
    <w:p w14:paraId="5DAC26D8">
      <w:pPr>
        <w:keepNext w:val="0"/>
        <w:keepLines w:val="0"/>
        <w:pageBreakBefore w:val="0"/>
        <w:kinsoku/>
        <w:wordWrap/>
        <w:overflowPunct/>
        <w:topLinePunct w:val="0"/>
        <w:bidi w:val="0"/>
        <w:snapToGrid/>
        <w:spacing w:line="460" w:lineRule="exact"/>
        <w:ind w:firstLine="480" w:firstLineChars="200"/>
        <w:rPr>
          <w:rFonts w:hint="eastAsia" w:ascii="宋体" w:hAnsi="宋体" w:eastAsia="宋体" w:cs="宋体"/>
          <w:bCs/>
          <w:color w:val="auto"/>
          <w:kern w:val="0"/>
          <w:sz w:val="24"/>
          <w:szCs w:val="24"/>
          <w:highlight w:val="none"/>
        </w:rPr>
      </w:pPr>
      <w:r>
        <w:rPr>
          <w:rFonts w:hint="eastAsia" w:ascii="宋体" w:hAnsi="宋体" w:eastAsia="宋体" w:cs="宋体"/>
          <w:bCs/>
          <w:color w:val="auto"/>
          <w:kern w:val="0"/>
          <w:sz w:val="24"/>
          <w:szCs w:val="24"/>
          <w:highlight w:val="none"/>
          <w:lang w:val="en-US" w:eastAsia="zh-CN"/>
        </w:rPr>
        <w:t>1.8</w:t>
      </w:r>
      <w:r>
        <w:rPr>
          <w:rFonts w:hint="eastAsia" w:ascii="宋体" w:hAnsi="宋体" w:eastAsia="宋体" w:cs="宋体"/>
          <w:bCs/>
          <w:color w:val="auto"/>
          <w:kern w:val="0"/>
          <w:sz w:val="24"/>
          <w:szCs w:val="24"/>
          <w:highlight w:val="none"/>
        </w:rPr>
        <w:t>.3乙方人员不能响应甲方紧急服务需求的，经甲方指出后未能改正的；</w:t>
      </w:r>
    </w:p>
    <w:p w14:paraId="28ADCE80">
      <w:pPr>
        <w:keepNext w:val="0"/>
        <w:keepLines w:val="0"/>
        <w:pageBreakBefore w:val="0"/>
        <w:kinsoku/>
        <w:wordWrap/>
        <w:overflowPunct/>
        <w:topLinePunct w:val="0"/>
        <w:bidi w:val="0"/>
        <w:snapToGrid/>
        <w:spacing w:line="460" w:lineRule="exact"/>
        <w:ind w:firstLine="480" w:firstLineChars="200"/>
        <w:rPr>
          <w:rFonts w:hint="eastAsia" w:ascii="宋体" w:hAnsi="宋体" w:eastAsia="宋体" w:cs="宋体"/>
          <w:bCs/>
          <w:color w:val="auto"/>
          <w:kern w:val="0"/>
          <w:sz w:val="24"/>
          <w:szCs w:val="24"/>
          <w:highlight w:val="none"/>
        </w:rPr>
      </w:pPr>
      <w:r>
        <w:rPr>
          <w:rFonts w:hint="eastAsia" w:ascii="宋体" w:hAnsi="宋体" w:eastAsia="宋体" w:cs="宋体"/>
          <w:bCs/>
          <w:color w:val="auto"/>
          <w:kern w:val="0"/>
          <w:sz w:val="24"/>
          <w:szCs w:val="24"/>
          <w:highlight w:val="none"/>
          <w:lang w:val="en-US" w:eastAsia="zh-CN"/>
        </w:rPr>
        <w:t>1.8</w:t>
      </w:r>
      <w:r>
        <w:rPr>
          <w:rFonts w:hint="eastAsia" w:ascii="宋体" w:hAnsi="宋体" w:eastAsia="宋体" w:cs="宋体"/>
          <w:bCs/>
          <w:color w:val="auto"/>
          <w:kern w:val="0"/>
          <w:sz w:val="24"/>
          <w:szCs w:val="24"/>
          <w:highlight w:val="none"/>
        </w:rPr>
        <w:t>.4因乙方服务人员原因在服务期间给甲方造成不良影响的，服务期限内达到 1 次的；</w:t>
      </w:r>
    </w:p>
    <w:p w14:paraId="4B8B8101">
      <w:pPr>
        <w:keepNext w:val="0"/>
        <w:keepLines w:val="0"/>
        <w:pageBreakBefore w:val="0"/>
        <w:kinsoku/>
        <w:wordWrap/>
        <w:overflowPunct/>
        <w:topLinePunct w:val="0"/>
        <w:bidi w:val="0"/>
        <w:snapToGrid/>
        <w:spacing w:line="460" w:lineRule="exact"/>
        <w:ind w:firstLine="480" w:firstLineChars="200"/>
        <w:rPr>
          <w:rFonts w:hint="eastAsia" w:ascii="宋体" w:hAnsi="宋体" w:eastAsia="宋体" w:cs="宋体"/>
          <w:bCs/>
          <w:color w:val="auto"/>
          <w:kern w:val="0"/>
          <w:sz w:val="24"/>
          <w:szCs w:val="24"/>
          <w:highlight w:val="none"/>
        </w:rPr>
      </w:pPr>
      <w:r>
        <w:rPr>
          <w:rFonts w:hint="eastAsia" w:ascii="宋体" w:hAnsi="宋体" w:eastAsia="宋体" w:cs="宋体"/>
          <w:bCs/>
          <w:color w:val="auto"/>
          <w:kern w:val="0"/>
          <w:sz w:val="24"/>
          <w:szCs w:val="24"/>
          <w:highlight w:val="none"/>
          <w:lang w:val="en-US" w:eastAsia="zh-CN"/>
        </w:rPr>
        <w:t>1.8</w:t>
      </w:r>
      <w:r>
        <w:rPr>
          <w:rFonts w:hint="eastAsia" w:ascii="宋体" w:hAnsi="宋体" w:eastAsia="宋体" w:cs="宋体"/>
          <w:bCs/>
          <w:color w:val="auto"/>
          <w:kern w:val="0"/>
          <w:sz w:val="24"/>
          <w:szCs w:val="24"/>
          <w:highlight w:val="none"/>
        </w:rPr>
        <w:t>.5乙方及其服务人员虚报服务内容、服务时间等，骗取甲方服务费用的；</w:t>
      </w:r>
    </w:p>
    <w:p w14:paraId="098443FE">
      <w:pPr>
        <w:keepNext w:val="0"/>
        <w:keepLines w:val="0"/>
        <w:pageBreakBefore w:val="0"/>
        <w:kinsoku/>
        <w:wordWrap/>
        <w:overflowPunct/>
        <w:topLinePunct w:val="0"/>
        <w:bidi w:val="0"/>
        <w:snapToGrid/>
        <w:spacing w:line="460" w:lineRule="exact"/>
        <w:ind w:firstLine="480" w:firstLineChars="200"/>
        <w:rPr>
          <w:rFonts w:hint="eastAsia" w:ascii="宋体" w:hAnsi="宋体" w:eastAsia="宋体" w:cs="宋体"/>
          <w:bCs/>
          <w:color w:val="auto"/>
          <w:kern w:val="0"/>
          <w:sz w:val="24"/>
          <w:szCs w:val="24"/>
          <w:highlight w:val="none"/>
        </w:rPr>
      </w:pPr>
      <w:r>
        <w:rPr>
          <w:rFonts w:hint="eastAsia" w:ascii="宋体" w:hAnsi="宋体" w:eastAsia="宋体" w:cs="宋体"/>
          <w:bCs/>
          <w:color w:val="auto"/>
          <w:kern w:val="0"/>
          <w:sz w:val="24"/>
          <w:szCs w:val="24"/>
          <w:highlight w:val="none"/>
          <w:lang w:val="en-US" w:eastAsia="zh-CN"/>
        </w:rPr>
        <w:t>1.8</w:t>
      </w:r>
      <w:r>
        <w:rPr>
          <w:rFonts w:hint="eastAsia" w:ascii="宋体" w:hAnsi="宋体" w:eastAsia="宋体" w:cs="宋体"/>
          <w:bCs/>
          <w:color w:val="auto"/>
          <w:kern w:val="0"/>
          <w:sz w:val="24"/>
          <w:szCs w:val="24"/>
          <w:highlight w:val="none"/>
        </w:rPr>
        <w:t>.6因乙方不当服务或服务人员违法，给甲方造成严重不良影响的；</w:t>
      </w:r>
    </w:p>
    <w:p w14:paraId="182DF7C1">
      <w:pPr>
        <w:keepNext w:val="0"/>
        <w:keepLines w:val="0"/>
        <w:pageBreakBefore w:val="0"/>
        <w:kinsoku/>
        <w:wordWrap/>
        <w:overflowPunct/>
        <w:topLinePunct w:val="0"/>
        <w:bidi w:val="0"/>
        <w:snapToGrid/>
        <w:spacing w:line="460" w:lineRule="exact"/>
        <w:ind w:firstLine="480" w:firstLineChars="200"/>
        <w:rPr>
          <w:rFonts w:hint="eastAsia" w:ascii="宋体" w:hAnsi="宋体" w:eastAsia="宋体" w:cs="宋体"/>
          <w:bCs/>
          <w:color w:val="auto"/>
          <w:kern w:val="0"/>
          <w:sz w:val="24"/>
          <w:szCs w:val="24"/>
          <w:highlight w:val="none"/>
        </w:rPr>
      </w:pPr>
      <w:r>
        <w:rPr>
          <w:rFonts w:hint="eastAsia" w:ascii="宋体" w:hAnsi="宋体" w:eastAsia="宋体" w:cs="宋体"/>
          <w:bCs/>
          <w:color w:val="auto"/>
          <w:kern w:val="0"/>
          <w:sz w:val="24"/>
          <w:szCs w:val="24"/>
          <w:highlight w:val="none"/>
          <w:lang w:val="en-US" w:eastAsia="zh-CN"/>
        </w:rPr>
        <w:t>1.8</w:t>
      </w:r>
      <w:r>
        <w:rPr>
          <w:rFonts w:hint="eastAsia" w:ascii="宋体" w:hAnsi="宋体" w:eastAsia="宋体" w:cs="宋体"/>
          <w:bCs/>
          <w:color w:val="auto"/>
          <w:kern w:val="0"/>
          <w:sz w:val="24"/>
          <w:szCs w:val="24"/>
          <w:highlight w:val="none"/>
        </w:rPr>
        <w:t>.7乙方一年内因生产安全事故受到行政处罚达到1次的，或者因为乙方发生生产安全事故、环境损害事故，给甲方造成重大不良影响的或导致甲方受到行政处罚的。</w:t>
      </w:r>
    </w:p>
    <w:p w14:paraId="506B4D1D">
      <w:pPr>
        <w:keepNext w:val="0"/>
        <w:keepLines w:val="0"/>
        <w:pageBreakBefore w:val="0"/>
        <w:kinsoku/>
        <w:wordWrap/>
        <w:overflowPunct/>
        <w:topLinePunct w:val="0"/>
        <w:bidi w:val="0"/>
        <w:snapToGrid/>
        <w:spacing w:line="460" w:lineRule="exact"/>
        <w:rPr>
          <w:rFonts w:hint="eastAsia" w:ascii="宋体" w:hAnsi="宋体" w:eastAsia="宋体" w:cs="宋体"/>
          <w:b/>
          <w:bCs/>
          <w:color w:val="auto"/>
          <w:kern w:val="0"/>
          <w:sz w:val="24"/>
          <w:szCs w:val="24"/>
          <w:highlight w:val="none"/>
        </w:rPr>
      </w:pPr>
      <w:r>
        <w:rPr>
          <w:rFonts w:hint="eastAsia" w:ascii="宋体" w:hAnsi="宋体" w:eastAsia="宋体" w:cs="宋体"/>
          <w:b/>
          <w:bCs/>
          <w:color w:val="auto"/>
          <w:kern w:val="0"/>
          <w:sz w:val="24"/>
          <w:szCs w:val="24"/>
          <w:highlight w:val="none"/>
        </w:rPr>
        <w:t>1.9合同争议的解决</w:t>
      </w:r>
      <w:bookmarkEnd w:id="132"/>
      <w:bookmarkEnd w:id="133"/>
      <w:bookmarkEnd w:id="134"/>
      <w:bookmarkEnd w:id="135"/>
      <w:bookmarkEnd w:id="136"/>
    </w:p>
    <w:p w14:paraId="7D08DFFC">
      <w:pPr>
        <w:keepNext w:val="0"/>
        <w:keepLines w:val="0"/>
        <w:pageBreakBefore w:val="0"/>
        <w:kinsoku/>
        <w:wordWrap/>
        <w:overflowPunct/>
        <w:topLinePunct w:val="0"/>
        <w:bidi w:val="0"/>
        <w:snapToGrid/>
        <w:spacing w:line="460" w:lineRule="exact"/>
        <w:ind w:firstLine="480" w:firstLineChars="200"/>
        <w:rPr>
          <w:rFonts w:hint="eastAsia" w:ascii="宋体" w:hAnsi="宋体" w:eastAsia="宋体" w:cs="宋体"/>
          <w:bCs/>
          <w:color w:val="auto"/>
          <w:kern w:val="0"/>
          <w:sz w:val="24"/>
          <w:szCs w:val="24"/>
          <w:highlight w:val="none"/>
        </w:rPr>
      </w:pPr>
      <w:r>
        <w:rPr>
          <w:rFonts w:hint="eastAsia" w:ascii="宋体" w:hAnsi="宋体" w:eastAsia="宋体" w:cs="宋体"/>
          <w:bCs/>
          <w:color w:val="auto"/>
          <w:kern w:val="0"/>
          <w:sz w:val="24"/>
          <w:szCs w:val="24"/>
          <w:highlight w:val="none"/>
        </w:rPr>
        <w:t>本合同履行过程中发生的任何争议，双方当事人均可通过和解或者调解解决；不愿和解、调解或者和解、调解不成的，可以选择下列第</w:t>
      </w:r>
      <w:r>
        <w:rPr>
          <w:rFonts w:hint="eastAsia" w:ascii="宋体" w:hAnsi="宋体" w:eastAsia="宋体" w:cs="宋体"/>
          <w:bCs/>
          <w:color w:val="auto"/>
          <w:kern w:val="0"/>
          <w:sz w:val="24"/>
          <w:szCs w:val="24"/>
          <w:highlight w:val="none"/>
          <w:u w:val="single"/>
        </w:rPr>
        <w:t>1.9.1</w:t>
      </w:r>
      <w:r>
        <w:rPr>
          <w:rFonts w:hint="eastAsia" w:ascii="宋体" w:hAnsi="宋体" w:eastAsia="宋体" w:cs="宋体"/>
          <w:bCs/>
          <w:color w:val="auto"/>
          <w:kern w:val="0"/>
          <w:sz w:val="24"/>
          <w:szCs w:val="24"/>
          <w:highlight w:val="none"/>
        </w:rPr>
        <w:t>种方式解决：</w:t>
      </w:r>
    </w:p>
    <w:p w14:paraId="3B43BB55">
      <w:pPr>
        <w:keepNext w:val="0"/>
        <w:keepLines w:val="0"/>
        <w:pageBreakBefore w:val="0"/>
        <w:kinsoku/>
        <w:wordWrap/>
        <w:overflowPunct/>
        <w:topLinePunct w:val="0"/>
        <w:bidi w:val="0"/>
        <w:snapToGrid/>
        <w:spacing w:line="460" w:lineRule="exact"/>
        <w:ind w:firstLine="480" w:firstLineChars="200"/>
        <w:rPr>
          <w:rFonts w:hint="eastAsia" w:ascii="宋体" w:hAnsi="宋体" w:eastAsia="宋体" w:cs="宋体"/>
          <w:bCs/>
          <w:color w:val="auto"/>
          <w:kern w:val="0"/>
          <w:sz w:val="24"/>
          <w:szCs w:val="24"/>
          <w:highlight w:val="none"/>
        </w:rPr>
      </w:pPr>
      <w:r>
        <w:rPr>
          <w:rFonts w:hint="eastAsia" w:ascii="宋体" w:hAnsi="宋体" w:eastAsia="宋体" w:cs="宋体"/>
          <w:bCs/>
          <w:color w:val="auto"/>
          <w:kern w:val="0"/>
          <w:sz w:val="24"/>
          <w:szCs w:val="24"/>
          <w:highlight w:val="none"/>
        </w:rPr>
        <w:t>1.9.1向</w:t>
      </w:r>
      <w:r>
        <w:rPr>
          <w:rFonts w:hint="eastAsia" w:ascii="宋体" w:hAnsi="宋体" w:eastAsia="宋体" w:cs="宋体"/>
          <w:bCs/>
          <w:color w:val="auto"/>
          <w:kern w:val="0"/>
          <w:sz w:val="24"/>
          <w:szCs w:val="24"/>
          <w:highlight w:val="none"/>
          <w:u w:val="single"/>
        </w:rPr>
        <w:t>（项目所在地、合同履行地、标的物所在地等）</w:t>
      </w:r>
      <w:r>
        <w:rPr>
          <w:rFonts w:hint="eastAsia" w:ascii="宋体" w:hAnsi="宋体" w:eastAsia="宋体" w:cs="宋体"/>
          <w:bCs/>
          <w:color w:val="auto"/>
          <w:kern w:val="0"/>
          <w:sz w:val="24"/>
          <w:szCs w:val="24"/>
          <w:highlight w:val="none"/>
        </w:rPr>
        <w:t>人民法院起诉。</w:t>
      </w:r>
    </w:p>
    <w:p w14:paraId="0A06DC9B">
      <w:pPr>
        <w:keepNext w:val="0"/>
        <w:keepLines w:val="0"/>
        <w:pageBreakBefore w:val="0"/>
        <w:kinsoku/>
        <w:wordWrap/>
        <w:overflowPunct/>
        <w:topLinePunct w:val="0"/>
        <w:bidi w:val="0"/>
        <w:snapToGrid/>
        <w:spacing w:line="460" w:lineRule="exact"/>
        <w:rPr>
          <w:rFonts w:hint="eastAsia" w:ascii="宋体" w:hAnsi="宋体" w:eastAsia="宋体" w:cs="宋体"/>
          <w:b/>
          <w:bCs/>
          <w:color w:val="auto"/>
          <w:kern w:val="0"/>
          <w:sz w:val="24"/>
          <w:szCs w:val="24"/>
          <w:highlight w:val="none"/>
        </w:rPr>
      </w:pPr>
      <w:bookmarkStart w:id="137" w:name="_Toc23784"/>
      <w:bookmarkStart w:id="138" w:name="_Toc15827"/>
      <w:bookmarkStart w:id="139" w:name="_Toc12273"/>
      <w:bookmarkStart w:id="140" w:name="_Toc16417"/>
      <w:bookmarkStart w:id="141" w:name="_Toc26227"/>
      <w:r>
        <w:rPr>
          <w:rFonts w:hint="eastAsia" w:ascii="宋体" w:hAnsi="宋体" w:eastAsia="宋体" w:cs="宋体"/>
          <w:b/>
          <w:bCs/>
          <w:color w:val="auto"/>
          <w:kern w:val="0"/>
          <w:sz w:val="24"/>
          <w:szCs w:val="24"/>
          <w:highlight w:val="none"/>
        </w:rPr>
        <w:t>1.10 合同生效</w:t>
      </w:r>
      <w:bookmarkEnd w:id="137"/>
      <w:bookmarkEnd w:id="138"/>
      <w:bookmarkEnd w:id="139"/>
      <w:bookmarkEnd w:id="140"/>
      <w:bookmarkEnd w:id="141"/>
      <w:r>
        <w:rPr>
          <w:rFonts w:hint="eastAsia" w:ascii="宋体" w:hAnsi="宋体" w:eastAsia="宋体" w:cs="宋体"/>
          <w:b/>
          <w:bCs/>
          <w:color w:val="auto"/>
          <w:kern w:val="0"/>
          <w:sz w:val="24"/>
          <w:szCs w:val="24"/>
          <w:highlight w:val="none"/>
        </w:rPr>
        <w:t>及其他</w:t>
      </w:r>
    </w:p>
    <w:p w14:paraId="0C11B2C6">
      <w:pPr>
        <w:keepNext w:val="0"/>
        <w:keepLines w:val="0"/>
        <w:pageBreakBefore w:val="0"/>
        <w:kinsoku/>
        <w:wordWrap/>
        <w:overflowPunct/>
        <w:topLinePunct w:val="0"/>
        <w:bidi w:val="0"/>
        <w:snapToGrid/>
        <w:spacing w:line="460" w:lineRule="exact"/>
        <w:ind w:firstLine="480" w:firstLineChars="200"/>
        <w:rPr>
          <w:rFonts w:hint="eastAsia" w:ascii="宋体" w:hAnsi="宋体" w:eastAsia="宋体" w:cs="宋体"/>
          <w:bCs/>
          <w:color w:val="auto"/>
          <w:kern w:val="0"/>
          <w:sz w:val="24"/>
          <w:szCs w:val="24"/>
          <w:highlight w:val="none"/>
        </w:rPr>
      </w:pPr>
      <w:r>
        <w:rPr>
          <w:rFonts w:hint="eastAsia" w:ascii="宋体" w:hAnsi="宋体" w:eastAsia="宋体" w:cs="宋体"/>
          <w:bCs/>
          <w:color w:val="auto"/>
          <w:kern w:val="0"/>
          <w:sz w:val="24"/>
          <w:szCs w:val="24"/>
          <w:highlight w:val="none"/>
        </w:rPr>
        <w:t>1.10.1合同应在甲乙双方代表签字并加盖公章后生效。</w:t>
      </w:r>
    </w:p>
    <w:p w14:paraId="4DB7C002">
      <w:pPr>
        <w:keepNext w:val="0"/>
        <w:keepLines w:val="0"/>
        <w:pageBreakBefore w:val="0"/>
        <w:kinsoku/>
        <w:wordWrap/>
        <w:overflowPunct/>
        <w:topLinePunct w:val="0"/>
        <w:bidi w:val="0"/>
        <w:snapToGrid/>
        <w:spacing w:line="460" w:lineRule="exact"/>
        <w:ind w:firstLine="480" w:firstLineChars="200"/>
        <w:rPr>
          <w:rFonts w:hint="eastAsia" w:ascii="宋体" w:hAnsi="宋体" w:eastAsia="宋体" w:cs="宋体"/>
          <w:bCs/>
          <w:color w:val="auto"/>
          <w:kern w:val="0"/>
          <w:sz w:val="24"/>
          <w:szCs w:val="24"/>
          <w:highlight w:val="none"/>
        </w:rPr>
      </w:pPr>
      <w:r>
        <w:rPr>
          <w:rFonts w:hint="eastAsia" w:ascii="宋体" w:hAnsi="宋体" w:eastAsia="宋体" w:cs="宋体"/>
          <w:bCs/>
          <w:color w:val="auto"/>
          <w:kern w:val="0"/>
          <w:sz w:val="24"/>
          <w:szCs w:val="24"/>
          <w:highlight w:val="none"/>
        </w:rPr>
        <w:t>1.10.2本合同一式五份，以简体中文书写，甲方两份、乙方两份、</w:t>
      </w:r>
      <w:r>
        <w:rPr>
          <w:rFonts w:hint="eastAsia" w:ascii="宋体" w:hAnsi="宋体" w:eastAsia="宋体" w:cs="宋体"/>
          <w:bCs/>
          <w:color w:val="auto"/>
          <w:kern w:val="0"/>
          <w:sz w:val="24"/>
          <w:szCs w:val="24"/>
          <w:highlight w:val="none"/>
          <w:lang w:val="en-US" w:eastAsia="zh-CN"/>
        </w:rPr>
        <w:t>代理机构</w:t>
      </w:r>
      <w:r>
        <w:rPr>
          <w:rFonts w:hint="eastAsia" w:ascii="宋体" w:hAnsi="宋体" w:eastAsia="宋体" w:cs="宋体"/>
          <w:bCs/>
          <w:color w:val="auto"/>
          <w:kern w:val="0"/>
          <w:sz w:val="24"/>
          <w:szCs w:val="24"/>
          <w:highlight w:val="none"/>
        </w:rPr>
        <w:t>一份。</w:t>
      </w:r>
    </w:p>
    <w:p w14:paraId="343B556D">
      <w:pPr>
        <w:keepNext w:val="0"/>
        <w:keepLines w:val="0"/>
        <w:pageBreakBefore w:val="0"/>
        <w:kinsoku/>
        <w:wordWrap/>
        <w:overflowPunct/>
        <w:topLinePunct w:val="0"/>
        <w:bidi w:val="0"/>
        <w:snapToGrid/>
        <w:spacing w:line="460" w:lineRule="exact"/>
        <w:ind w:firstLine="480" w:firstLineChars="200"/>
        <w:rPr>
          <w:rFonts w:hint="eastAsia" w:ascii="宋体" w:hAnsi="宋体" w:eastAsia="宋体" w:cs="宋体"/>
          <w:bCs/>
          <w:color w:val="auto"/>
          <w:kern w:val="0"/>
          <w:sz w:val="24"/>
          <w:szCs w:val="24"/>
          <w:highlight w:val="none"/>
        </w:rPr>
      </w:pPr>
      <w:r>
        <w:rPr>
          <w:rFonts w:hint="eastAsia" w:ascii="宋体" w:hAnsi="宋体" w:eastAsia="宋体" w:cs="宋体"/>
          <w:bCs/>
          <w:color w:val="auto"/>
          <w:kern w:val="0"/>
          <w:sz w:val="24"/>
          <w:szCs w:val="24"/>
          <w:highlight w:val="none"/>
        </w:rPr>
        <w:t>1.10.3本合同应按照中华人民共和国的现行法律进行解释。</w:t>
      </w:r>
      <w:bookmarkStart w:id="142" w:name="_Toc331685783"/>
    </w:p>
    <w:p w14:paraId="66C6E67E">
      <w:pPr>
        <w:keepNext w:val="0"/>
        <w:keepLines w:val="0"/>
        <w:pageBreakBefore w:val="0"/>
        <w:kinsoku/>
        <w:wordWrap/>
        <w:overflowPunct/>
        <w:topLinePunct w:val="0"/>
        <w:autoSpaceDE w:val="0"/>
        <w:autoSpaceDN w:val="0"/>
        <w:bidi w:val="0"/>
        <w:adjustRightInd w:val="0"/>
        <w:snapToGrid/>
        <w:spacing w:line="460" w:lineRule="exact"/>
        <w:ind w:firstLine="200"/>
        <w:jc w:val="center"/>
        <w:rPr>
          <w:rFonts w:hint="eastAsia" w:ascii="宋体" w:hAnsi="宋体" w:eastAsia="宋体" w:cs="宋体"/>
          <w:b/>
          <w:color w:val="auto"/>
          <w:kern w:val="0"/>
          <w:sz w:val="28"/>
          <w:szCs w:val="28"/>
          <w:highlight w:val="none"/>
        </w:rPr>
      </w:pPr>
      <w:r>
        <w:rPr>
          <w:rFonts w:hint="eastAsia" w:ascii="宋体" w:hAnsi="宋体" w:eastAsia="宋体" w:cs="宋体"/>
          <w:b/>
          <w:color w:val="auto"/>
          <w:kern w:val="0"/>
          <w:sz w:val="28"/>
          <w:szCs w:val="28"/>
          <w:highlight w:val="none"/>
        </w:rPr>
        <w:t>第二部分 合同一般条款</w:t>
      </w:r>
      <w:bookmarkEnd w:id="142"/>
    </w:p>
    <w:p w14:paraId="45438948">
      <w:pPr>
        <w:keepNext w:val="0"/>
        <w:keepLines w:val="0"/>
        <w:pageBreakBefore w:val="0"/>
        <w:kinsoku/>
        <w:wordWrap/>
        <w:overflowPunct/>
        <w:topLinePunct w:val="0"/>
        <w:bidi w:val="0"/>
        <w:snapToGrid/>
        <w:spacing w:line="460" w:lineRule="exact"/>
        <w:rPr>
          <w:rFonts w:hint="eastAsia" w:ascii="宋体" w:hAnsi="宋体" w:eastAsia="宋体" w:cs="宋体"/>
          <w:b/>
          <w:bCs/>
          <w:color w:val="auto"/>
          <w:kern w:val="0"/>
          <w:sz w:val="24"/>
          <w:szCs w:val="24"/>
          <w:highlight w:val="none"/>
        </w:rPr>
      </w:pPr>
      <w:bookmarkStart w:id="143" w:name="_Ref467379195"/>
      <w:bookmarkStart w:id="144" w:name="_Ref467379101"/>
      <w:bookmarkStart w:id="145" w:name="_Toc19680"/>
      <w:bookmarkStart w:id="146" w:name="_Ref467379214"/>
      <w:bookmarkStart w:id="147" w:name="_Toc31297"/>
      <w:bookmarkStart w:id="148" w:name="_Toc279701240"/>
      <w:bookmarkStart w:id="149" w:name="_Ref467378404"/>
      <w:bookmarkStart w:id="150" w:name="_Toc487900349"/>
      <w:bookmarkStart w:id="151" w:name="_Ref467379094"/>
      <w:bookmarkStart w:id="152" w:name="_Toc25079"/>
      <w:bookmarkStart w:id="153" w:name="_Ref467379109"/>
      <w:bookmarkStart w:id="154" w:name="_Toc259093669"/>
      <w:bookmarkStart w:id="155" w:name="_Toc14021"/>
      <w:bookmarkStart w:id="156" w:name="_Ref467378499"/>
      <w:bookmarkStart w:id="157" w:name="_Toc5228"/>
      <w:bookmarkStart w:id="158" w:name="_Ref467379205"/>
      <w:bookmarkStart w:id="159" w:name="_Ref467378463"/>
      <w:bookmarkStart w:id="160" w:name="_Ref467379225"/>
      <w:r>
        <w:rPr>
          <w:rFonts w:hint="eastAsia" w:ascii="宋体" w:hAnsi="宋体" w:eastAsia="宋体" w:cs="宋体"/>
          <w:b/>
          <w:bCs/>
          <w:color w:val="auto"/>
          <w:kern w:val="0"/>
          <w:sz w:val="24"/>
          <w:szCs w:val="24"/>
          <w:highlight w:val="none"/>
        </w:rPr>
        <w:t>2.1 定义</w:t>
      </w:r>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p>
    <w:p w14:paraId="2E1B4AA8">
      <w:pPr>
        <w:keepNext w:val="0"/>
        <w:keepLines w:val="0"/>
        <w:pageBreakBefore w:val="0"/>
        <w:kinsoku/>
        <w:wordWrap/>
        <w:overflowPunct/>
        <w:topLinePunct w:val="0"/>
        <w:bidi w:val="0"/>
        <w:snapToGrid/>
        <w:spacing w:line="460" w:lineRule="exact"/>
        <w:ind w:firstLine="480" w:firstLineChars="200"/>
        <w:rPr>
          <w:rFonts w:hint="eastAsia" w:ascii="宋体" w:hAnsi="宋体" w:eastAsia="宋体" w:cs="宋体"/>
          <w:bCs/>
          <w:color w:val="auto"/>
          <w:kern w:val="0"/>
          <w:sz w:val="24"/>
          <w:szCs w:val="24"/>
          <w:highlight w:val="none"/>
        </w:rPr>
      </w:pPr>
      <w:r>
        <w:rPr>
          <w:rFonts w:hint="eastAsia" w:ascii="宋体" w:hAnsi="宋体" w:eastAsia="宋体" w:cs="宋体"/>
          <w:bCs/>
          <w:color w:val="auto"/>
          <w:kern w:val="0"/>
          <w:sz w:val="24"/>
          <w:szCs w:val="24"/>
          <w:highlight w:val="none"/>
        </w:rPr>
        <w:t>本合同中的下列词语应按以下内容进行解释：</w:t>
      </w:r>
    </w:p>
    <w:p w14:paraId="68C0B255">
      <w:pPr>
        <w:keepNext w:val="0"/>
        <w:keepLines w:val="0"/>
        <w:pageBreakBefore w:val="0"/>
        <w:kinsoku/>
        <w:wordWrap/>
        <w:overflowPunct/>
        <w:topLinePunct w:val="0"/>
        <w:bidi w:val="0"/>
        <w:snapToGrid/>
        <w:spacing w:line="460" w:lineRule="exact"/>
        <w:ind w:firstLine="480" w:firstLineChars="200"/>
        <w:rPr>
          <w:rFonts w:hint="eastAsia" w:ascii="宋体" w:hAnsi="宋体" w:eastAsia="宋体" w:cs="宋体"/>
          <w:bCs/>
          <w:color w:val="auto"/>
          <w:kern w:val="0"/>
          <w:sz w:val="24"/>
          <w:szCs w:val="24"/>
          <w:highlight w:val="none"/>
        </w:rPr>
      </w:pPr>
      <w:r>
        <w:rPr>
          <w:rFonts w:hint="eastAsia" w:ascii="宋体" w:hAnsi="宋体" w:eastAsia="宋体" w:cs="宋体"/>
          <w:bCs/>
          <w:color w:val="auto"/>
          <w:kern w:val="0"/>
          <w:sz w:val="24"/>
          <w:szCs w:val="24"/>
          <w:highlight w:val="none"/>
        </w:rPr>
        <w:t>2.1.1“合同”系指采购人和中标人签订的载明双方当事人所达成的协议，并包括所有的附件、附录和构成合同的其他文件。</w:t>
      </w:r>
    </w:p>
    <w:p w14:paraId="75D0AF4C">
      <w:pPr>
        <w:keepNext w:val="0"/>
        <w:keepLines w:val="0"/>
        <w:pageBreakBefore w:val="0"/>
        <w:kinsoku/>
        <w:wordWrap/>
        <w:overflowPunct/>
        <w:topLinePunct w:val="0"/>
        <w:bidi w:val="0"/>
        <w:snapToGrid/>
        <w:spacing w:line="460" w:lineRule="exact"/>
        <w:ind w:firstLine="480" w:firstLineChars="200"/>
        <w:rPr>
          <w:rFonts w:hint="eastAsia" w:ascii="宋体" w:hAnsi="宋体" w:eastAsia="宋体" w:cs="宋体"/>
          <w:bCs/>
          <w:color w:val="auto"/>
          <w:kern w:val="0"/>
          <w:sz w:val="24"/>
          <w:szCs w:val="24"/>
          <w:highlight w:val="none"/>
        </w:rPr>
      </w:pPr>
      <w:r>
        <w:rPr>
          <w:rFonts w:hint="eastAsia" w:ascii="宋体" w:hAnsi="宋体" w:eastAsia="宋体" w:cs="宋体"/>
          <w:bCs/>
          <w:color w:val="auto"/>
          <w:kern w:val="0"/>
          <w:sz w:val="24"/>
          <w:szCs w:val="24"/>
          <w:highlight w:val="none"/>
        </w:rPr>
        <w:t>2.1.2“合同价”系指根据合同约定，中标人在完全履行合同义务后，采购人应支付给中标人的价格。</w:t>
      </w:r>
    </w:p>
    <w:p w14:paraId="62406095">
      <w:pPr>
        <w:keepNext w:val="0"/>
        <w:keepLines w:val="0"/>
        <w:pageBreakBefore w:val="0"/>
        <w:kinsoku/>
        <w:wordWrap/>
        <w:overflowPunct/>
        <w:topLinePunct w:val="0"/>
        <w:bidi w:val="0"/>
        <w:snapToGrid/>
        <w:spacing w:line="460" w:lineRule="exact"/>
        <w:ind w:firstLine="480" w:firstLineChars="200"/>
        <w:rPr>
          <w:rFonts w:hint="eastAsia" w:ascii="宋体" w:hAnsi="宋体" w:eastAsia="宋体" w:cs="宋体"/>
          <w:bCs/>
          <w:color w:val="auto"/>
          <w:kern w:val="0"/>
          <w:sz w:val="24"/>
          <w:szCs w:val="24"/>
          <w:highlight w:val="none"/>
        </w:rPr>
      </w:pPr>
      <w:r>
        <w:rPr>
          <w:rFonts w:hint="eastAsia" w:ascii="宋体" w:hAnsi="宋体" w:eastAsia="宋体" w:cs="宋体"/>
          <w:bCs/>
          <w:color w:val="auto"/>
          <w:kern w:val="0"/>
          <w:sz w:val="24"/>
          <w:szCs w:val="24"/>
          <w:highlight w:val="none"/>
        </w:rPr>
        <w:t>2.1.3“服务”系指中标人根据合同约定应向采购人履行的除货物和工程以外的其他政府采购对象，包括采购人自身需要的服务和向社会公众提供的公共服务。</w:t>
      </w:r>
    </w:p>
    <w:p w14:paraId="4429C142">
      <w:pPr>
        <w:keepNext w:val="0"/>
        <w:keepLines w:val="0"/>
        <w:pageBreakBefore w:val="0"/>
        <w:kinsoku/>
        <w:wordWrap/>
        <w:overflowPunct/>
        <w:topLinePunct w:val="0"/>
        <w:bidi w:val="0"/>
        <w:snapToGrid/>
        <w:spacing w:line="460" w:lineRule="exact"/>
        <w:ind w:firstLine="480" w:firstLineChars="200"/>
        <w:rPr>
          <w:rFonts w:hint="eastAsia" w:ascii="宋体" w:hAnsi="宋体" w:eastAsia="宋体" w:cs="宋体"/>
          <w:bCs/>
          <w:color w:val="auto"/>
          <w:kern w:val="0"/>
          <w:sz w:val="24"/>
          <w:szCs w:val="24"/>
          <w:highlight w:val="none"/>
        </w:rPr>
      </w:pPr>
      <w:bookmarkStart w:id="161" w:name="_Ref467378840"/>
      <w:r>
        <w:rPr>
          <w:rFonts w:hint="eastAsia" w:ascii="宋体" w:hAnsi="宋体" w:eastAsia="宋体" w:cs="宋体"/>
          <w:bCs/>
          <w:color w:val="auto"/>
          <w:kern w:val="0"/>
          <w:sz w:val="24"/>
          <w:szCs w:val="24"/>
          <w:highlight w:val="none"/>
        </w:rPr>
        <w:t>2.1.4“甲方”系指与中标人签署合同的采购人</w:t>
      </w:r>
      <w:bookmarkEnd w:id="161"/>
      <w:r>
        <w:rPr>
          <w:rFonts w:hint="eastAsia" w:ascii="宋体" w:hAnsi="宋体" w:eastAsia="宋体" w:cs="宋体"/>
          <w:bCs/>
          <w:color w:val="auto"/>
          <w:kern w:val="0"/>
          <w:sz w:val="24"/>
          <w:szCs w:val="24"/>
          <w:highlight w:val="none"/>
        </w:rPr>
        <w:t>；采购人委托采购代理机构代表其与乙方签订合同的，采购人的授权委托书作为合同附件。</w:t>
      </w:r>
    </w:p>
    <w:p w14:paraId="4CC6EF8F">
      <w:pPr>
        <w:keepNext w:val="0"/>
        <w:keepLines w:val="0"/>
        <w:pageBreakBefore w:val="0"/>
        <w:kinsoku/>
        <w:wordWrap/>
        <w:overflowPunct/>
        <w:topLinePunct w:val="0"/>
        <w:bidi w:val="0"/>
        <w:snapToGrid/>
        <w:spacing w:line="460" w:lineRule="exact"/>
        <w:ind w:firstLine="480" w:firstLineChars="200"/>
        <w:rPr>
          <w:rFonts w:hint="eastAsia" w:ascii="宋体" w:hAnsi="宋体" w:eastAsia="宋体" w:cs="宋体"/>
          <w:bCs/>
          <w:color w:val="auto"/>
          <w:kern w:val="0"/>
          <w:sz w:val="24"/>
          <w:szCs w:val="24"/>
          <w:highlight w:val="none"/>
        </w:rPr>
      </w:pPr>
      <w:bookmarkStart w:id="162" w:name="_Ref467379400"/>
      <w:r>
        <w:rPr>
          <w:rFonts w:hint="eastAsia" w:ascii="宋体" w:hAnsi="宋体" w:eastAsia="宋体" w:cs="宋体"/>
          <w:bCs/>
          <w:color w:val="auto"/>
          <w:kern w:val="0"/>
          <w:sz w:val="24"/>
          <w:szCs w:val="24"/>
          <w:highlight w:val="none"/>
        </w:rPr>
        <w:t>2.1.5“乙方”系指根据合同约定提供服务的</w:t>
      </w:r>
      <w:bookmarkEnd w:id="162"/>
      <w:r>
        <w:rPr>
          <w:rFonts w:hint="eastAsia" w:ascii="宋体" w:hAnsi="宋体" w:eastAsia="宋体" w:cs="宋体"/>
          <w:bCs/>
          <w:color w:val="auto"/>
          <w:kern w:val="0"/>
          <w:sz w:val="24"/>
          <w:szCs w:val="24"/>
          <w:highlight w:val="none"/>
        </w:rPr>
        <w:t>中标人。</w:t>
      </w:r>
      <w:bookmarkStart w:id="163" w:name="_Ref467379436"/>
    </w:p>
    <w:p w14:paraId="4D670934">
      <w:pPr>
        <w:keepNext w:val="0"/>
        <w:keepLines w:val="0"/>
        <w:pageBreakBefore w:val="0"/>
        <w:kinsoku/>
        <w:wordWrap/>
        <w:overflowPunct/>
        <w:topLinePunct w:val="0"/>
        <w:bidi w:val="0"/>
        <w:snapToGrid/>
        <w:spacing w:line="460" w:lineRule="exact"/>
        <w:ind w:firstLine="480" w:firstLineChars="200"/>
        <w:rPr>
          <w:rFonts w:hint="eastAsia" w:ascii="宋体" w:hAnsi="宋体" w:eastAsia="宋体" w:cs="宋体"/>
          <w:bCs/>
          <w:color w:val="auto"/>
          <w:kern w:val="0"/>
          <w:sz w:val="24"/>
          <w:szCs w:val="24"/>
          <w:highlight w:val="none"/>
        </w:rPr>
      </w:pPr>
      <w:r>
        <w:rPr>
          <w:rFonts w:hint="eastAsia" w:ascii="宋体" w:hAnsi="宋体" w:eastAsia="宋体" w:cs="宋体"/>
          <w:bCs/>
          <w:color w:val="auto"/>
          <w:kern w:val="0"/>
          <w:sz w:val="24"/>
          <w:szCs w:val="24"/>
          <w:highlight w:val="none"/>
        </w:rPr>
        <w:t>2.1.6“现场”系指合同约定提供服务的地点。</w:t>
      </w:r>
      <w:bookmarkEnd w:id="163"/>
    </w:p>
    <w:p w14:paraId="236A4437">
      <w:pPr>
        <w:keepNext w:val="0"/>
        <w:keepLines w:val="0"/>
        <w:pageBreakBefore w:val="0"/>
        <w:kinsoku/>
        <w:wordWrap/>
        <w:overflowPunct/>
        <w:topLinePunct w:val="0"/>
        <w:bidi w:val="0"/>
        <w:snapToGrid/>
        <w:spacing w:line="460" w:lineRule="exact"/>
        <w:rPr>
          <w:rFonts w:hint="eastAsia" w:ascii="宋体" w:hAnsi="宋体" w:eastAsia="宋体" w:cs="宋体"/>
          <w:b/>
          <w:bCs/>
          <w:color w:val="auto"/>
          <w:kern w:val="0"/>
          <w:sz w:val="24"/>
          <w:szCs w:val="24"/>
          <w:highlight w:val="none"/>
        </w:rPr>
      </w:pPr>
      <w:bookmarkStart w:id="164" w:name="_Toc31402"/>
      <w:bookmarkStart w:id="165" w:name="_Toc279701241"/>
      <w:bookmarkStart w:id="166" w:name="_Toc23289"/>
      <w:bookmarkStart w:id="167" w:name="_Toc487900350"/>
      <w:bookmarkStart w:id="168" w:name="_Toc19539"/>
      <w:bookmarkStart w:id="169" w:name="_Toc259093670"/>
      <w:bookmarkStart w:id="170" w:name="_Toc3769"/>
      <w:bookmarkStart w:id="171" w:name="_Toc16752"/>
      <w:r>
        <w:rPr>
          <w:rFonts w:hint="eastAsia" w:ascii="宋体" w:hAnsi="宋体" w:eastAsia="宋体" w:cs="宋体"/>
          <w:b/>
          <w:bCs/>
          <w:color w:val="auto"/>
          <w:kern w:val="0"/>
          <w:sz w:val="24"/>
          <w:szCs w:val="24"/>
          <w:highlight w:val="none"/>
        </w:rPr>
        <w:t>2.2 技术规范</w:t>
      </w:r>
      <w:bookmarkEnd w:id="164"/>
      <w:bookmarkEnd w:id="165"/>
      <w:bookmarkEnd w:id="166"/>
      <w:bookmarkEnd w:id="167"/>
      <w:bookmarkEnd w:id="168"/>
      <w:bookmarkEnd w:id="169"/>
      <w:bookmarkEnd w:id="170"/>
      <w:bookmarkEnd w:id="171"/>
    </w:p>
    <w:p w14:paraId="4A887F14">
      <w:pPr>
        <w:keepNext w:val="0"/>
        <w:keepLines w:val="0"/>
        <w:pageBreakBefore w:val="0"/>
        <w:kinsoku/>
        <w:wordWrap/>
        <w:overflowPunct/>
        <w:topLinePunct w:val="0"/>
        <w:bidi w:val="0"/>
        <w:snapToGrid/>
        <w:spacing w:line="460" w:lineRule="exact"/>
        <w:ind w:firstLine="480" w:firstLineChars="200"/>
        <w:rPr>
          <w:rFonts w:hint="eastAsia" w:ascii="宋体" w:hAnsi="宋体" w:eastAsia="宋体" w:cs="宋体"/>
          <w:bCs/>
          <w:color w:val="auto"/>
          <w:kern w:val="0"/>
          <w:sz w:val="24"/>
          <w:szCs w:val="24"/>
          <w:highlight w:val="none"/>
        </w:rPr>
      </w:pPr>
      <w:r>
        <w:rPr>
          <w:rFonts w:hint="eastAsia" w:ascii="宋体" w:hAnsi="宋体" w:eastAsia="宋体" w:cs="宋体"/>
          <w:bCs/>
          <w:color w:val="auto"/>
          <w:kern w:val="0"/>
          <w:sz w:val="24"/>
          <w:szCs w:val="24"/>
          <w:highlight w:val="none"/>
        </w:rPr>
        <w:t>服务所应遵守的技术规范应与采购文件规定的技术规范和技术规范附件(如果有的话)及其技术规范偏差表(如果被甲方接受的话)相一致；如果采购文件中没有技术规范的相应说明，那么应以国家有关部门最新颁布的相应标准和规范为准。</w:t>
      </w:r>
    </w:p>
    <w:p w14:paraId="6E9C285E">
      <w:pPr>
        <w:keepNext w:val="0"/>
        <w:keepLines w:val="0"/>
        <w:pageBreakBefore w:val="0"/>
        <w:kinsoku/>
        <w:wordWrap/>
        <w:overflowPunct/>
        <w:topLinePunct w:val="0"/>
        <w:bidi w:val="0"/>
        <w:snapToGrid/>
        <w:spacing w:line="460" w:lineRule="exact"/>
        <w:rPr>
          <w:rFonts w:hint="eastAsia" w:ascii="宋体" w:hAnsi="宋体" w:eastAsia="宋体" w:cs="宋体"/>
          <w:b/>
          <w:bCs/>
          <w:color w:val="auto"/>
          <w:kern w:val="0"/>
          <w:sz w:val="24"/>
          <w:szCs w:val="24"/>
          <w:highlight w:val="none"/>
        </w:rPr>
      </w:pPr>
      <w:bookmarkStart w:id="172" w:name="_Toc487900351"/>
      <w:bookmarkStart w:id="173" w:name="_Toc9161"/>
      <w:bookmarkStart w:id="174" w:name="_Toc4133"/>
      <w:bookmarkStart w:id="175" w:name="_Toc12412"/>
      <w:bookmarkStart w:id="176" w:name="_Toc27945"/>
      <w:bookmarkStart w:id="177" w:name="_Toc259093671"/>
      <w:bookmarkStart w:id="178" w:name="_Toc13673"/>
      <w:bookmarkStart w:id="179" w:name="_Toc279701242"/>
      <w:r>
        <w:rPr>
          <w:rFonts w:hint="eastAsia" w:ascii="宋体" w:hAnsi="宋体" w:eastAsia="宋体" w:cs="宋体"/>
          <w:b/>
          <w:bCs/>
          <w:color w:val="auto"/>
          <w:kern w:val="0"/>
          <w:sz w:val="24"/>
          <w:szCs w:val="24"/>
          <w:highlight w:val="none"/>
        </w:rPr>
        <w:t>2.3 知识产权</w:t>
      </w:r>
      <w:bookmarkEnd w:id="172"/>
      <w:bookmarkEnd w:id="173"/>
      <w:bookmarkEnd w:id="174"/>
      <w:bookmarkEnd w:id="175"/>
      <w:bookmarkEnd w:id="176"/>
      <w:bookmarkEnd w:id="177"/>
      <w:bookmarkEnd w:id="178"/>
      <w:bookmarkEnd w:id="179"/>
    </w:p>
    <w:p w14:paraId="5B50DD50">
      <w:pPr>
        <w:keepNext w:val="0"/>
        <w:keepLines w:val="0"/>
        <w:pageBreakBefore w:val="0"/>
        <w:kinsoku/>
        <w:wordWrap/>
        <w:overflowPunct/>
        <w:topLinePunct w:val="0"/>
        <w:bidi w:val="0"/>
        <w:snapToGrid/>
        <w:spacing w:line="460" w:lineRule="exact"/>
        <w:ind w:firstLine="480" w:firstLineChars="200"/>
        <w:rPr>
          <w:rFonts w:hint="eastAsia" w:ascii="宋体" w:hAnsi="宋体" w:eastAsia="宋体" w:cs="宋体"/>
          <w:bCs/>
          <w:color w:val="auto"/>
          <w:kern w:val="0"/>
          <w:sz w:val="24"/>
          <w:szCs w:val="24"/>
          <w:highlight w:val="none"/>
        </w:rPr>
      </w:pPr>
      <w:r>
        <w:rPr>
          <w:rFonts w:hint="eastAsia" w:ascii="宋体" w:hAnsi="宋体" w:eastAsia="宋体" w:cs="宋体"/>
          <w:bCs/>
          <w:color w:val="auto"/>
          <w:kern w:val="0"/>
          <w:sz w:val="24"/>
          <w:szCs w:val="24"/>
          <w:highlight w:val="none"/>
        </w:rPr>
        <w:t>乙方应保证其提供的服务不受任何第三方提出的侵犯其著作权、商标权、专利权等知识产权方面的起诉；如果任何第三方提出侵权指控，那么乙方须与该第三方交涉并承担由此发生的一切责任、费用和赔偿。</w:t>
      </w:r>
    </w:p>
    <w:p w14:paraId="54A0A7D6">
      <w:pPr>
        <w:keepNext w:val="0"/>
        <w:keepLines w:val="0"/>
        <w:pageBreakBefore w:val="0"/>
        <w:kinsoku/>
        <w:wordWrap/>
        <w:overflowPunct/>
        <w:topLinePunct w:val="0"/>
        <w:bidi w:val="0"/>
        <w:snapToGrid/>
        <w:spacing w:line="460" w:lineRule="exact"/>
        <w:rPr>
          <w:rFonts w:hint="eastAsia" w:ascii="宋体" w:hAnsi="宋体" w:eastAsia="宋体" w:cs="宋体"/>
          <w:b/>
          <w:bCs/>
          <w:color w:val="auto"/>
          <w:kern w:val="0"/>
          <w:sz w:val="24"/>
          <w:szCs w:val="24"/>
          <w:highlight w:val="none"/>
        </w:rPr>
      </w:pPr>
      <w:r>
        <w:rPr>
          <w:rFonts w:hint="eastAsia" w:ascii="宋体" w:hAnsi="宋体" w:eastAsia="宋体" w:cs="宋体"/>
          <w:b/>
          <w:bCs/>
          <w:color w:val="auto"/>
          <w:kern w:val="0"/>
          <w:sz w:val="24"/>
          <w:szCs w:val="24"/>
          <w:highlight w:val="none"/>
        </w:rPr>
        <w:t>2.4 履约检查和问题反馈</w:t>
      </w:r>
    </w:p>
    <w:p w14:paraId="5D033060">
      <w:pPr>
        <w:keepNext w:val="0"/>
        <w:keepLines w:val="0"/>
        <w:pageBreakBefore w:val="0"/>
        <w:kinsoku/>
        <w:wordWrap/>
        <w:overflowPunct/>
        <w:topLinePunct w:val="0"/>
        <w:bidi w:val="0"/>
        <w:snapToGrid/>
        <w:spacing w:line="460" w:lineRule="exact"/>
        <w:ind w:firstLine="480" w:firstLineChars="200"/>
        <w:rPr>
          <w:rFonts w:hint="eastAsia" w:ascii="宋体" w:hAnsi="宋体" w:eastAsia="宋体" w:cs="宋体"/>
          <w:bCs/>
          <w:color w:val="auto"/>
          <w:kern w:val="0"/>
          <w:sz w:val="24"/>
          <w:szCs w:val="24"/>
          <w:highlight w:val="none"/>
        </w:rPr>
      </w:pPr>
      <w:bookmarkStart w:id="180" w:name="_Toc186431854"/>
      <w:bookmarkStart w:id="181" w:name="_Toc259093676"/>
      <w:bookmarkStart w:id="182" w:name="_Ref467379807"/>
      <w:bookmarkStart w:id="183" w:name="_Toc487900357"/>
      <w:bookmarkStart w:id="184" w:name="_Toc279701247"/>
      <w:bookmarkStart w:id="185" w:name="_Ref467379793"/>
      <w:r>
        <w:rPr>
          <w:rFonts w:hint="eastAsia" w:ascii="宋体" w:hAnsi="宋体" w:eastAsia="宋体" w:cs="宋体"/>
          <w:bCs/>
          <w:color w:val="auto"/>
          <w:kern w:val="0"/>
          <w:sz w:val="24"/>
          <w:szCs w:val="24"/>
          <w:highlight w:val="none"/>
        </w:rPr>
        <w:t>2.4.1甲方有权在其认为必要时，对乙方是否能够按照合同约定提供服务进行履约检查，以确保乙方所提供的服务能够依约满足甲方之项目需求，但不得因履约检查妨碍乙方的正常工作，乙方应予积极配合。</w:t>
      </w:r>
    </w:p>
    <w:p w14:paraId="65D8E100">
      <w:pPr>
        <w:keepNext w:val="0"/>
        <w:keepLines w:val="0"/>
        <w:pageBreakBefore w:val="0"/>
        <w:kinsoku/>
        <w:wordWrap/>
        <w:overflowPunct/>
        <w:topLinePunct w:val="0"/>
        <w:bidi w:val="0"/>
        <w:snapToGrid/>
        <w:spacing w:line="460" w:lineRule="exact"/>
        <w:ind w:firstLine="480" w:firstLineChars="200"/>
        <w:rPr>
          <w:rFonts w:hint="eastAsia" w:ascii="宋体" w:hAnsi="宋体" w:eastAsia="宋体" w:cs="宋体"/>
          <w:bCs/>
          <w:color w:val="auto"/>
          <w:kern w:val="0"/>
          <w:sz w:val="24"/>
          <w:szCs w:val="24"/>
          <w:highlight w:val="none"/>
        </w:rPr>
      </w:pPr>
      <w:r>
        <w:rPr>
          <w:rFonts w:hint="eastAsia" w:ascii="宋体" w:hAnsi="宋体" w:eastAsia="宋体" w:cs="宋体"/>
          <w:bCs/>
          <w:color w:val="auto"/>
          <w:kern w:val="0"/>
          <w:sz w:val="24"/>
          <w:szCs w:val="24"/>
          <w:highlight w:val="none"/>
        </w:rPr>
        <w:t>2.4.2合同履行期间，甲方有权将履行过程中出现的问题反馈给乙方，双方当事人应以书面形式约定需要完善和改进的内容</w:t>
      </w:r>
      <w:bookmarkEnd w:id="180"/>
      <w:bookmarkStart w:id="186" w:name="_Toc186431855"/>
      <w:r>
        <w:rPr>
          <w:rFonts w:hint="eastAsia" w:ascii="宋体" w:hAnsi="宋体" w:eastAsia="宋体" w:cs="宋体"/>
          <w:bCs/>
          <w:color w:val="auto"/>
          <w:kern w:val="0"/>
          <w:sz w:val="24"/>
          <w:szCs w:val="24"/>
          <w:highlight w:val="none"/>
        </w:rPr>
        <w:t>。</w:t>
      </w:r>
    </w:p>
    <w:bookmarkEnd w:id="181"/>
    <w:bookmarkEnd w:id="182"/>
    <w:bookmarkEnd w:id="183"/>
    <w:bookmarkEnd w:id="184"/>
    <w:bookmarkEnd w:id="185"/>
    <w:bookmarkEnd w:id="186"/>
    <w:p w14:paraId="61B76115">
      <w:pPr>
        <w:keepNext w:val="0"/>
        <w:keepLines w:val="0"/>
        <w:pageBreakBefore w:val="0"/>
        <w:kinsoku/>
        <w:wordWrap/>
        <w:overflowPunct/>
        <w:topLinePunct w:val="0"/>
        <w:bidi w:val="0"/>
        <w:snapToGrid/>
        <w:spacing w:line="460" w:lineRule="exact"/>
        <w:rPr>
          <w:rFonts w:hint="eastAsia" w:ascii="宋体" w:hAnsi="宋体" w:eastAsia="宋体" w:cs="宋体"/>
          <w:b/>
          <w:bCs/>
          <w:color w:val="auto"/>
          <w:kern w:val="0"/>
          <w:sz w:val="24"/>
          <w:szCs w:val="24"/>
          <w:highlight w:val="none"/>
        </w:rPr>
      </w:pPr>
      <w:bookmarkStart w:id="187" w:name="_Toc259093677"/>
      <w:bookmarkStart w:id="188" w:name="_Toc279701248"/>
      <w:bookmarkStart w:id="189" w:name="_Ref467379852"/>
      <w:bookmarkStart w:id="190" w:name="_Ref467379923"/>
      <w:bookmarkStart w:id="191" w:name="_Toc487900358"/>
      <w:bookmarkStart w:id="192" w:name="_Ref467379863"/>
      <w:bookmarkStart w:id="193" w:name="_Toc13467"/>
      <w:bookmarkStart w:id="194" w:name="_Toc13154"/>
      <w:bookmarkStart w:id="195" w:name="_Toc18990"/>
      <w:bookmarkStart w:id="196" w:name="_Toc30507"/>
      <w:bookmarkStart w:id="197" w:name="_Toc16163"/>
      <w:r>
        <w:rPr>
          <w:rFonts w:hint="eastAsia" w:ascii="宋体" w:hAnsi="宋体" w:eastAsia="宋体" w:cs="宋体"/>
          <w:b/>
          <w:bCs/>
          <w:color w:val="auto"/>
          <w:kern w:val="0"/>
          <w:sz w:val="24"/>
          <w:szCs w:val="24"/>
          <w:highlight w:val="none"/>
        </w:rPr>
        <w:t>2.5 技术资料</w:t>
      </w:r>
      <w:bookmarkEnd w:id="187"/>
      <w:bookmarkEnd w:id="188"/>
      <w:bookmarkEnd w:id="189"/>
      <w:bookmarkEnd w:id="190"/>
      <w:bookmarkEnd w:id="191"/>
      <w:bookmarkEnd w:id="192"/>
      <w:r>
        <w:rPr>
          <w:rFonts w:hint="eastAsia" w:ascii="宋体" w:hAnsi="宋体" w:eastAsia="宋体" w:cs="宋体"/>
          <w:b/>
          <w:bCs/>
          <w:color w:val="auto"/>
          <w:kern w:val="0"/>
          <w:sz w:val="24"/>
          <w:szCs w:val="24"/>
          <w:highlight w:val="none"/>
        </w:rPr>
        <w:t>和保密义务</w:t>
      </w:r>
      <w:bookmarkEnd w:id="193"/>
      <w:bookmarkEnd w:id="194"/>
      <w:bookmarkEnd w:id="195"/>
      <w:bookmarkEnd w:id="196"/>
      <w:bookmarkEnd w:id="197"/>
    </w:p>
    <w:p w14:paraId="2F33A287">
      <w:pPr>
        <w:keepNext w:val="0"/>
        <w:keepLines w:val="0"/>
        <w:pageBreakBefore w:val="0"/>
        <w:kinsoku/>
        <w:wordWrap/>
        <w:overflowPunct/>
        <w:topLinePunct w:val="0"/>
        <w:bidi w:val="0"/>
        <w:snapToGrid/>
        <w:spacing w:line="460" w:lineRule="exact"/>
        <w:ind w:firstLine="480" w:firstLineChars="200"/>
        <w:rPr>
          <w:rFonts w:hint="eastAsia" w:ascii="宋体" w:hAnsi="宋体" w:eastAsia="宋体" w:cs="宋体"/>
          <w:bCs/>
          <w:color w:val="auto"/>
          <w:kern w:val="0"/>
          <w:sz w:val="24"/>
          <w:szCs w:val="24"/>
          <w:highlight w:val="none"/>
        </w:rPr>
      </w:pPr>
      <w:r>
        <w:rPr>
          <w:rFonts w:hint="eastAsia" w:ascii="宋体" w:hAnsi="宋体" w:eastAsia="宋体" w:cs="宋体"/>
          <w:bCs/>
          <w:color w:val="auto"/>
          <w:kern w:val="0"/>
          <w:sz w:val="24"/>
          <w:szCs w:val="24"/>
          <w:highlight w:val="none"/>
        </w:rPr>
        <w:t>2.5.1乙方有权依据合同约定和项目需要，向甲方了解有关情况，调阅有关资料等，甲方应予积极配合。</w:t>
      </w:r>
    </w:p>
    <w:p w14:paraId="4CE683A5">
      <w:pPr>
        <w:keepNext w:val="0"/>
        <w:keepLines w:val="0"/>
        <w:pageBreakBefore w:val="0"/>
        <w:kinsoku/>
        <w:wordWrap/>
        <w:overflowPunct/>
        <w:topLinePunct w:val="0"/>
        <w:bidi w:val="0"/>
        <w:snapToGrid/>
        <w:spacing w:line="460" w:lineRule="exact"/>
        <w:ind w:firstLine="480" w:firstLineChars="200"/>
        <w:rPr>
          <w:rFonts w:hint="eastAsia" w:ascii="宋体" w:hAnsi="宋体" w:eastAsia="宋体" w:cs="宋体"/>
          <w:bCs/>
          <w:color w:val="auto"/>
          <w:kern w:val="0"/>
          <w:sz w:val="24"/>
          <w:szCs w:val="24"/>
          <w:highlight w:val="none"/>
        </w:rPr>
      </w:pPr>
      <w:r>
        <w:rPr>
          <w:rFonts w:hint="eastAsia" w:ascii="宋体" w:hAnsi="宋体" w:eastAsia="宋体" w:cs="宋体"/>
          <w:bCs/>
          <w:color w:val="auto"/>
          <w:kern w:val="0"/>
          <w:sz w:val="24"/>
          <w:szCs w:val="24"/>
          <w:highlight w:val="none"/>
        </w:rPr>
        <w:t>2.5.2乙方有义务妥善保管和保护由甲方提供的前款信息和资料等。</w:t>
      </w:r>
    </w:p>
    <w:p w14:paraId="1213F1AD">
      <w:pPr>
        <w:keepNext w:val="0"/>
        <w:keepLines w:val="0"/>
        <w:pageBreakBefore w:val="0"/>
        <w:kinsoku/>
        <w:wordWrap/>
        <w:overflowPunct/>
        <w:topLinePunct w:val="0"/>
        <w:bidi w:val="0"/>
        <w:snapToGrid/>
        <w:spacing w:line="460" w:lineRule="exact"/>
        <w:ind w:firstLine="480" w:firstLineChars="200"/>
        <w:rPr>
          <w:rFonts w:hint="eastAsia" w:ascii="宋体" w:hAnsi="宋体" w:eastAsia="宋体" w:cs="宋体"/>
          <w:bCs/>
          <w:color w:val="auto"/>
          <w:kern w:val="0"/>
          <w:sz w:val="24"/>
          <w:szCs w:val="24"/>
          <w:highlight w:val="none"/>
        </w:rPr>
      </w:pPr>
      <w:r>
        <w:rPr>
          <w:rFonts w:hint="eastAsia" w:ascii="宋体" w:hAnsi="宋体" w:eastAsia="宋体" w:cs="宋体"/>
          <w:bCs/>
          <w:color w:val="auto"/>
          <w:kern w:val="0"/>
          <w:sz w:val="24"/>
          <w:szCs w:val="24"/>
          <w:highlight w:val="none"/>
        </w:rPr>
        <w:t>2.5.3除非依照法律规定或者对方当事人的书面同意，任何一方均应保证不向任何第三方提供或披露有关合同的或者履行合同过程中知悉的对方当事人任何未公开的信息和资料，包括但不限于技术情报、技术资料、商业秘密和商业信息等，并采取一切合理和必要措施和方式防止任何第三方接触到对方当事人的上述保密信息和资料。</w:t>
      </w:r>
    </w:p>
    <w:p w14:paraId="127675EF">
      <w:pPr>
        <w:keepNext w:val="0"/>
        <w:keepLines w:val="0"/>
        <w:pageBreakBefore w:val="0"/>
        <w:kinsoku/>
        <w:wordWrap/>
        <w:overflowPunct/>
        <w:topLinePunct w:val="0"/>
        <w:bidi w:val="0"/>
        <w:snapToGrid/>
        <w:spacing w:line="460" w:lineRule="exact"/>
        <w:rPr>
          <w:rFonts w:hint="eastAsia" w:ascii="宋体" w:hAnsi="宋体" w:eastAsia="宋体" w:cs="宋体"/>
          <w:b/>
          <w:bCs/>
          <w:color w:val="auto"/>
          <w:kern w:val="0"/>
          <w:sz w:val="24"/>
          <w:szCs w:val="24"/>
          <w:highlight w:val="none"/>
          <w:lang w:val="en-US" w:eastAsia="zh-CN"/>
        </w:rPr>
      </w:pPr>
      <w:bookmarkStart w:id="198" w:name="_Toc19069"/>
      <w:bookmarkStart w:id="199" w:name="_Toc259093681"/>
      <w:bookmarkStart w:id="200" w:name="_Toc279701252"/>
      <w:bookmarkStart w:id="201" w:name="_Toc487900362"/>
      <w:r>
        <w:rPr>
          <w:rFonts w:hint="eastAsia" w:ascii="宋体" w:hAnsi="宋体" w:eastAsia="宋体" w:cs="宋体"/>
          <w:b/>
          <w:bCs/>
          <w:color w:val="auto"/>
          <w:kern w:val="0"/>
          <w:sz w:val="24"/>
          <w:szCs w:val="24"/>
          <w:highlight w:val="none"/>
        </w:rPr>
        <w:t>2.6 质量保证</w:t>
      </w:r>
      <w:bookmarkEnd w:id="198"/>
      <w:r>
        <w:rPr>
          <w:rFonts w:hint="eastAsia" w:ascii="宋体" w:hAnsi="宋体" w:eastAsia="宋体" w:cs="宋体"/>
          <w:b/>
          <w:bCs/>
          <w:color w:val="auto"/>
          <w:kern w:val="0"/>
          <w:sz w:val="24"/>
          <w:szCs w:val="24"/>
          <w:highlight w:val="none"/>
          <w:lang w:val="en-US" w:eastAsia="zh-CN"/>
        </w:rPr>
        <w:t>及验收办法</w:t>
      </w:r>
    </w:p>
    <w:p w14:paraId="496E8F2A">
      <w:pPr>
        <w:keepNext w:val="0"/>
        <w:keepLines w:val="0"/>
        <w:pageBreakBefore w:val="0"/>
        <w:kinsoku/>
        <w:wordWrap/>
        <w:overflowPunct/>
        <w:topLinePunct w:val="0"/>
        <w:bidi w:val="0"/>
        <w:snapToGrid/>
        <w:spacing w:line="460" w:lineRule="exact"/>
        <w:ind w:firstLine="480" w:firstLineChars="200"/>
        <w:rPr>
          <w:rFonts w:hint="eastAsia" w:ascii="宋体" w:hAnsi="宋体" w:eastAsia="宋体" w:cs="宋体"/>
          <w:bCs/>
          <w:color w:val="auto"/>
          <w:kern w:val="0"/>
          <w:sz w:val="24"/>
          <w:szCs w:val="24"/>
          <w:highlight w:val="none"/>
        </w:rPr>
      </w:pPr>
      <w:r>
        <w:rPr>
          <w:rFonts w:hint="eastAsia" w:ascii="宋体" w:hAnsi="宋体" w:eastAsia="宋体" w:cs="宋体"/>
          <w:bCs/>
          <w:color w:val="auto"/>
          <w:kern w:val="0"/>
          <w:sz w:val="24"/>
          <w:szCs w:val="24"/>
          <w:highlight w:val="none"/>
        </w:rPr>
        <w:t>2.6.1乙方应建立和完善履行合同的内部质量保证体系，并提供相关内部规章制度给甲方，以便甲方进行监督检查；</w:t>
      </w:r>
    </w:p>
    <w:p w14:paraId="1E31AB15">
      <w:pPr>
        <w:keepNext w:val="0"/>
        <w:keepLines w:val="0"/>
        <w:pageBreakBefore w:val="0"/>
        <w:kinsoku/>
        <w:wordWrap/>
        <w:overflowPunct/>
        <w:topLinePunct w:val="0"/>
        <w:bidi w:val="0"/>
        <w:snapToGrid/>
        <w:spacing w:line="460" w:lineRule="exact"/>
        <w:ind w:firstLine="480" w:firstLineChars="200"/>
        <w:rPr>
          <w:rFonts w:hint="eastAsia" w:ascii="宋体" w:hAnsi="宋体" w:eastAsia="宋体" w:cs="宋体"/>
          <w:bCs/>
          <w:color w:val="auto"/>
          <w:kern w:val="0"/>
          <w:sz w:val="24"/>
          <w:szCs w:val="24"/>
          <w:highlight w:val="none"/>
        </w:rPr>
      </w:pPr>
      <w:r>
        <w:rPr>
          <w:rFonts w:hint="eastAsia" w:ascii="宋体" w:hAnsi="宋体" w:eastAsia="宋体" w:cs="宋体"/>
          <w:bCs/>
          <w:color w:val="auto"/>
          <w:kern w:val="0"/>
          <w:sz w:val="24"/>
          <w:szCs w:val="24"/>
          <w:highlight w:val="none"/>
        </w:rPr>
        <w:t>2.6.2乙方应保证履行合同的人员数量和素质、软件和硬件设备的配置、场地、环境和设施等满足全面履行合同的要求，并应接受甲方的监督检查。</w:t>
      </w:r>
    </w:p>
    <w:p w14:paraId="4DC79DA9">
      <w:pPr>
        <w:keepNext w:val="0"/>
        <w:keepLines w:val="0"/>
        <w:pageBreakBefore w:val="0"/>
        <w:kinsoku/>
        <w:wordWrap/>
        <w:overflowPunct/>
        <w:topLinePunct w:val="0"/>
        <w:bidi w:val="0"/>
        <w:snapToGrid/>
        <w:spacing w:line="46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bCs/>
          <w:color w:val="auto"/>
          <w:kern w:val="0"/>
          <w:sz w:val="24"/>
          <w:szCs w:val="24"/>
          <w:highlight w:val="none"/>
        </w:rPr>
        <w:t>2.6.3其他</w:t>
      </w:r>
      <w:r>
        <w:rPr>
          <w:rFonts w:hint="eastAsia" w:ascii="宋体" w:hAnsi="宋体" w:eastAsia="宋体" w:cs="宋体"/>
          <w:color w:val="auto"/>
          <w:sz w:val="24"/>
          <w:szCs w:val="24"/>
          <w:highlight w:val="none"/>
        </w:rPr>
        <w:t>各项服务承诺指标及所采取的措施符合“投标文件”要求及投标响应承诺。</w:t>
      </w:r>
    </w:p>
    <w:p w14:paraId="073D8B14">
      <w:pPr>
        <w:keepNext w:val="0"/>
        <w:keepLines w:val="0"/>
        <w:pageBreakBefore w:val="0"/>
        <w:kinsoku/>
        <w:wordWrap/>
        <w:overflowPunct/>
        <w:topLinePunct w:val="0"/>
        <w:bidi w:val="0"/>
        <w:snapToGrid/>
        <w:spacing w:line="460" w:lineRule="exact"/>
        <w:ind w:firstLine="480" w:firstLineChars="200"/>
        <w:rPr>
          <w:rFonts w:hint="eastAsia" w:ascii="宋体" w:hAnsi="宋体" w:eastAsia="宋体" w:cs="宋体"/>
          <w:bCs/>
          <w:color w:val="auto"/>
          <w:kern w:val="0"/>
          <w:sz w:val="24"/>
          <w:szCs w:val="24"/>
          <w:highlight w:val="none"/>
        </w:rPr>
      </w:pPr>
      <w:r>
        <w:rPr>
          <w:rFonts w:hint="eastAsia" w:ascii="宋体" w:hAnsi="宋体" w:eastAsia="宋体" w:cs="宋体"/>
          <w:bCs/>
          <w:color w:val="auto"/>
          <w:kern w:val="0"/>
          <w:sz w:val="24"/>
          <w:szCs w:val="24"/>
          <w:highlight w:val="none"/>
        </w:rPr>
        <w:t>2.6.</w:t>
      </w:r>
      <w:r>
        <w:rPr>
          <w:rFonts w:hint="eastAsia" w:ascii="宋体" w:hAnsi="宋体" w:eastAsia="宋体" w:cs="宋体"/>
          <w:bCs/>
          <w:color w:val="auto"/>
          <w:kern w:val="0"/>
          <w:sz w:val="24"/>
          <w:szCs w:val="24"/>
          <w:highlight w:val="none"/>
          <w:lang w:val="en-US" w:eastAsia="zh-CN"/>
        </w:rPr>
        <w:t>4</w:t>
      </w:r>
      <w:r>
        <w:rPr>
          <w:rFonts w:hint="eastAsia" w:ascii="宋体" w:hAnsi="宋体" w:eastAsia="宋体" w:cs="宋体"/>
          <w:bCs/>
          <w:color w:val="auto"/>
          <w:kern w:val="0"/>
          <w:sz w:val="24"/>
          <w:szCs w:val="24"/>
          <w:highlight w:val="none"/>
        </w:rPr>
        <w:t>甲方依法组织履约验收工作。</w:t>
      </w:r>
    </w:p>
    <w:p w14:paraId="0CBACBEB">
      <w:pPr>
        <w:keepNext w:val="0"/>
        <w:keepLines w:val="0"/>
        <w:pageBreakBefore w:val="0"/>
        <w:kinsoku/>
        <w:wordWrap/>
        <w:overflowPunct/>
        <w:topLinePunct w:val="0"/>
        <w:bidi w:val="0"/>
        <w:snapToGrid/>
        <w:spacing w:line="460" w:lineRule="exact"/>
        <w:rPr>
          <w:rFonts w:hint="eastAsia" w:ascii="宋体" w:hAnsi="宋体" w:eastAsia="宋体" w:cs="宋体"/>
          <w:b/>
          <w:bCs/>
          <w:color w:val="auto"/>
          <w:kern w:val="0"/>
          <w:sz w:val="24"/>
          <w:szCs w:val="24"/>
          <w:highlight w:val="none"/>
        </w:rPr>
      </w:pPr>
      <w:bookmarkStart w:id="202" w:name="_Toc22267"/>
      <w:r>
        <w:rPr>
          <w:rFonts w:hint="eastAsia" w:ascii="宋体" w:hAnsi="宋体" w:eastAsia="宋体" w:cs="宋体"/>
          <w:b/>
          <w:bCs/>
          <w:color w:val="auto"/>
          <w:kern w:val="0"/>
          <w:sz w:val="24"/>
          <w:szCs w:val="24"/>
          <w:highlight w:val="none"/>
        </w:rPr>
        <w:t>2.7 延迟</w:t>
      </w:r>
      <w:bookmarkEnd w:id="199"/>
      <w:bookmarkEnd w:id="200"/>
      <w:bookmarkEnd w:id="201"/>
      <w:r>
        <w:rPr>
          <w:rFonts w:hint="eastAsia" w:ascii="宋体" w:hAnsi="宋体" w:eastAsia="宋体" w:cs="宋体"/>
          <w:b/>
          <w:bCs/>
          <w:color w:val="auto"/>
          <w:kern w:val="0"/>
          <w:sz w:val="24"/>
          <w:szCs w:val="24"/>
          <w:highlight w:val="none"/>
        </w:rPr>
        <w:t>履行</w:t>
      </w:r>
      <w:bookmarkEnd w:id="202"/>
    </w:p>
    <w:p w14:paraId="3C774B9D">
      <w:pPr>
        <w:keepNext w:val="0"/>
        <w:keepLines w:val="0"/>
        <w:pageBreakBefore w:val="0"/>
        <w:kinsoku/>
        <w:wordWrap/>
        <w:overflowPunct/>
        <w:topLinePunct w:val="0"/>
        <w:bidi w:val="0"/>
        <w:snapToGrid/>
        <w:spacing w:line="460" w:lineRule="exact"/>
        <w:ind w:firstLine="480" w:firstLineChars="200"/>
        <w:rPr>
          <w:rFonts w:hint="eastAsia" w:ascii="宋体" w:hAnsi="宋体" w:eastAsia="宋体" w:cs="宋体"/>
          <w:bCs/>
          <w:color w:val="auto"/>
          <w:kern w:val="0"/>
          <w:sz w:val="24"/>
          <w:szCs w:val="24"/>
          <w:highlight w:val="none"/>
        </w:rPr>
      </w:pPr>
      <w:r>
        <w:rPr>
          <w:rFonts w:hint="eastAsia" w:ascii="宋体" w:hAnsi="宋体" w:eastAsia="宋体" w:cs="宋体"/>
          <w:bCs/>
          <w:color w:val="auto"/>
          <w:kern w:val="0"/>
          <w:sz w:val="24"/>
          <w:szCs w:val="24"/>
          <w:highlight w:val="none"/>
        </w:rPr>
        <w:t>在合同履行过程中，如果乙方遇到不能按时提供服务的情况，应及时以书面形式将不能按时提供服务的理由、预期延误时间通知甲方；甲方收到乙方通知后，认为其理由正当的，可以书面形式酌情同意乙方可以延长履行的具体时间。</w:t>
      </w:r>
    </w:p>
    <w:p w14:paraId="795F653E">
      <w:pPr>
        <w:keepNext w:val="0"/>
        <w:keepLines w:val="0"/>
        <w:pageBreakBefore w:val="0"/>
        <w:kinsoku/>
        <w:wordWrap/>
        <w:overflowPunct/>
        <w:topLinePunct w:val="0"/>
        <w:bidi w:val="0"/>
        <w:snapToGrid/>
        <w:spacing w:line="460" w:lineRule="exact"/>
        <w:rPr>
          <w:rFonts w:hint="eastAsia" w:ascii="宋体" w:hAnsi="宋体" w:eastAsia="宋体" w:cs="宋体"/>
          <w:b/>
          <w:bCs/>
          <w:color w:val="auto"/>
          <w:kern w:val="0"/>
          <w:sz w:val="24"/>
          <w:szCs w:val="24"/>
          <w:highlight w:val="none"/>
        </w:rPr>
      </w:pPr>
      <w:bookmarkStart w:id="203" w:name="_Toc10611"/>
      <w:bookmarkStart w:id="204" w:name="_Toc487900364"/>
      <w:bookmarkStart w:id="205" w:name="_Toc259093683"/>
      <w:bookmarkStart w:id="206" w:name="_Ref467378121"/>
      <w:bookmarkStart w:id="207" w:name="_Toc279701254"/>
      <w:r>
        <w:rPr>
          <w:rFonts w:hint="eastAsia" w:ascii="宋体" w:hAnsi="宋体" w:eastAsia="宋体" w:cs="宋体"/>
          <w:b/>
          <w:bCs/>
          <w:color w:val="auto"/>
          <w:kern w:val="0"/>
          <w:sz w:val="24"/>
          <w:szCs w:val="24"/>
          <w:highlight w:val="none"/>
        </w:rPr>
        <w:t>2.8 合同变更</w:t>
      </w:r>
      <w:bookmarkEnd w:id="203"/>
    </w:p>
    <w:p w14:paraId="5A2AE0CE">
      <w:pPr>
        <w:keepNext w:val="0"/>
        <w:keepLines w:val="0"/>
        <w:pageBreakBefore w:val="0"/>
        <w:kinsoku/>
        <w:wordWrap/>
        <w:overflowPunct/>
        <w:topLinePunct w:val="0"/>
        <w:bidi w:val="0"/>
        <w:snapToGrid/>
        <w:spacing w:line="460" w:lineRule="exact"/>
        <w:ind w:firstLine="480" w:firstLineChars="200"/>
        <w:rPr>
          <w:rFonts w:hint="eastAsia" w:ascii="宋体" w:hAnsi="宋体" w:eastAsia="宋体" w:cs="宋体"/>
          <w:bCs/>
          <w:color w:val="auto"/>
          <w:kern w:val="0"/>
          <w:sz w:val="24"/>
          <w:szCs w:val="24"/>
          <w:highlight w:val="none"/>
        </w:rPr>
      </w:pPr>
      <w:r>
        <w:rPr>
          <w:rFonts w:hint="eastAsia" w:ascii="宋体" w:hAnsi="宋体" w:eastAsia="宋体" w:cs="宋体"/>
          <w:bCs/>
          <w:color w:val="auto"/>
          <w:kern w:val="0"/>
          <w:sz w:val="24"/>
          <w:szCs w:val="24"/>
          <w:highlight w:val="none"/>
        </w:rPr>
        <w:t>2.8.1双方当事人协商一致，可以签订书面补充合同的形式变更合同，但不得违背采购文件确定的事项，且如果系追加与合同标的相同的服务的，那么所有补充合同的采购金额不得超过原合同价的10%。</w:t>
      </w:r>
    </w:p>
    <w:p w14:paraId="5570BF96">
      <w:pPr>
        <w:keepNext w:val="0"/>
        <w:keepLines w:val="0"/>
        <w:pageBreakBefore w:val="0"/>
        <w:kinsoku/>
        <w:wordWrap/>
        <w:overflowPunct/>
        <w:topLinePunct w:val="0"/>
        <w:bidi w:val="0"/>
        <w:snapToGrid/>
        <w:spacing w:line="460" w:lineRule="exact"/>
        <w:ind w:firstLine="480" w:firstLineChars="200"/>
        <w:rPr>
          <w:rFonts w:hint="eastAsia" w:ascii="宋体" w:hAnsi="宋体" w:eastAsia="宋体" w:cs="宋体"/>
          <w:bCs/>
          <w:color w:val="auto"/>
          <w:kern w:val="0"/>
          <w:sz w:val="24"/>
          <w:szCs w:val="24"/>
          <w:highlight w:val="none"/>
        </w:rPr>
      </w:pPr>
      <w:r>
        <w:rPr>
          <w:rFonts w:hint="eastAsia" w:ascii="宋体" w:hAnsi="宋体" w:eastAsia="宋体" w:cs="宋体"/>
          <w:bCs/>
          <w:color w:val="auto"/>
          <w:kern w:val="0"/>
          <w:sz w:val="24"/>
          <w:szCs w:val="24"/>
          <w:highlight w:val="none"/>
        </w:rPr>
        <w:t>2.8.2合同继续履行将损害国家利益和社会公共利益的，甲方有权变更合同。有过错的一方应当承担赔偿责任，双方当事人都有过错的，各自承担相应的责任。</w:t>
      </w:r>
      <w:bookmarkStart w:id="208" w:name="_Toc279701259"/>
      <w:bookmarkStart w:id="209" w:name="_Toc259093688"/>
      <w:bookmarkStart w:id="210" w:name="_Toc487900369"/>
    </w:p>
    <w:p w14:paraId="4D3DAF30">
      <w:pPr>
        <w:keepNext w:val="0"/>
        <w:keepLines w:val="0"/>
        <w:pageBreakBefore w:val="0"/>
        <w:kinsoku/>
        <w:wordWrap/>
        <w:overflowPunct/>
        <w:topLinePunct w:val="0"/>
        <w:bidi w:val="0"/>
        <w:snapToGrid/>
        <w:spacing w:line="460" w:lineRule="exact"/>
        <w:rPr>
          <w:rFonts w:hint="eastAsia" w:ascii="宋体" w:hAnsi="宋体" w:eastAsia="宋体" w:cs="宋体"/>
          <w:b/>
          <w:bCs/>
          <w:color w:val="auto"/>
          <w:kern w:val="0"/>
          <w:sz w:val="24"/>
          <w:szCs w:val="24"/>
          <w:highlight w:val="none"/>
        </w:rPr>
      </w:pPr>
      <w:bookmarkStart w:id="211" w:name="_Toc42"/>
      <w:bookmarkStart w:id="212" w:name="_Toc23368"/>
      <w:bookmarkStart w:id="213" w:name="_Toc21830"/>
      <w:bookmarkStart w:id="214" w:name="_Toc10663"/>
      <w:bookmarkStart w:id="215" w:name="_Toc26689"/>
      <w:r>
        <w:rPr>
          <w:rFonts w:hint="eastAsia" w:ascii="宋体" w:hAnsi="宋体" w:eastAsia="宋体" w:cs="宋体"/>
          <w:b/>
          <w:bCs/>
          <w:color w:val="auto"/>
          <w:kern w:val="0"/>
          <w:sz w:val="24"/>
          <w:szCs w:val="24"/>
          <w:highlight w:val="none"/>
        </w:rPr>
        <w:t>2.9 合同转让</w:t>
      </w:r>
      <w:bookmarkEnd w:id="208"/>
      <w:bookmarkEnd w:id="209"/>
      <w:bookmarkEnd w:id="210"/>
      <w:r>
        <w:rPr>
          <w:rFonts w:hint="eastAsia" w:ascii="宋体" w:hAnsi="宋体" w:eastAsia="宋体" w:cs="宋体"/>
          <w:b/>
          <w:bCs/>
          <w:color w:val="auto"/>
          <w:kern w:val="0"/>
          <w:sz w:val="24"/>
          <w:szCs w:val="24"/>
          <w:highlight w:val="none"/>
        </w:rPr>
        <w:t>和分包</w:t>
      </w:r>
      <w:bookmarkEnd w:id="211"/>
      <w:bookmarkEnd w:id="212"/>
      <w:bookmarkEnd w:id="213"/>
      <w:bookmarkEnd w:id="214"/>
      <w:bookmarkEnd w:id="215"/>
    </w:p>
    <w:p w14:paraId="58942EDF">
      <w:pPr>
        <w:keepNext w:val="0"/>
        <w:keepLines w:val="0"/>
        <w:pageBreakBefore w:val="0"/>
        <w:kinsoku/>
        <w:wordWrap/>
        <w:overflowPunct/>
        <w:topLinePunct w:val="0"/>
        <w:bidi w:val="0"/>
        <w:snapToGrid/>
        <w:spacing w:line="460" w:lineRule="exact"/>
        <w:ind w:firstLine="480" w:firstLineChars="200"/>
        <w:rPr>
          <w:rFonts w:hint="eastAsia" w:ascii="宋体" w:hAnsi="宋体" w:eastAsia="宋体" w:cs="宋体"/>
          <w:bCs/>
          <w:color w:val="auto"/>
          <w:kern w:val="0"/>
          <w:sz w:val="24"/>
          <w:szCs w:val="24"/>
          <w:highlight w:val="none"/>
        </w:rPr>
      </w:pPr>
      <w:bookmarkStart w:id="216" w:name="_Toc32494"/>
      <w:bookmarkStart w:id="217" w:name="_Toc4720"/>
      <w:bookmarkStart w:id="218" w:name="_Toc26633"/>
      <w:bookmarkStart w:id="219" w:name="_Toc25571"/>
      <w:bookmarkStart w:id="220" w:name="_Toc14371"/>
      <w:r>
        <w:rPr>
          <w:rFonts w:hint="eastAsia" w:ascii="宋体" w:hAnsi="宋体" w:eastAsia="宋体" w:cs="宋体"/>
          <w:bCs/>
          <w:color w:val="auto"/>
          <w:kern w:val="0"/>
          <w:sz w:val="24"/>
          <w:szCs w:val="24"/>
          <w:highlight w:val="none"/>
        </w:rPr>
        <w:t>2.9.1本项目不得以任何形式进行转包及分包。</w:t>
      </w:r>
    </w:p>
    <w:p w14:paraId="22F9A054">
      <w:pPr>
        <w:keepNext w:val="0"/>
        <w:keepLines w:val="0"/>
        <w:pageBreakBefore w:val="0"/>
        <w:kinsoku/>
        <w:wordWrap/>
        <w:overflowPunct/>
        <w:topLinePunct w:val="0"/>
        <w:bidi w:val="0"/>
        <w:snapToGrid/>
        <w:spacing w:line="460" w:lineRule="exact"/>
        <w:rPr>
          <w:rFonts w:hint="eastAsia" w:ascii="宋体" w:hAnsi="宋体" w:eastAsia="宋体" w:cs="宋体"/>
          <w:b/>
          <w:bCs/>
          <w:color w:val="auto"/>
          <w:kern w:val="0"/>
          <w:sz w:val="24"/>
          <w:szCs w:val="24"/>
          <w:highlight w:val="none"/>
        </w:rPr>
      </w:pPr>
      <w:r>
        <w:rPr>
          <w:rFonts w:hint="eastAsia" w:ascii="宋体" w:hAnsi="宋体" w:eastAsia="宋体" w:cs="宋体"/>
          <w:b/>
          <w:bCs/>
          <w:color w:val="auto"/>
          <w:kern w:val="0"/>
          <w:sz w:val="24"/>
          <w:szCs w:val="24"/>
          <w:highlight w:val="none"/>
        </w:rPr>
        <w:t>2.10 不可抗力</w:t>
      </w:r>
      <w:bookmarkEnd w:id="216"/>
      <w:bookmarkEnd w:id="217"/>
      <w:bookmarkEnd w:id="218"/>
      <w:bookmarkEnd w:id="219"/>
      <w:bookmarkEnd w:id="220"/>
    </w:p>
    <w:p w14:paraId="3FA6E7A5">
      <w:pPr>
        <w:keepNext w:val="0"/>
        <w:keepLines w:val="0"/>
        <w:pageBreakBefore w:val="0"/>
        <w:kinsoku/>
        <w:wordWrap/>
        <w:overflowPunct/>
        <w:topLinePunct w:val="0"/>
        <w:bidi w:val="0"/>
        <w:snapToGrid/>
        <w:spacing w:line="460" w:lineRule="exact"/>
        <w:ind w:firstLine="480" w:firstLineChars="200"/>
        <w:rPr>
          <w:rFonts w:hint="eastAsia" w:ascii="宋体" w:hAnsi="宋体" w:eastAsia="宋体" w:cs="宋体"/>
          <w:bCs/>
          <w:color w:val="auto"/>
          <w:kern w:val="0"/>
          <w:sz w:val="24"/>
          <w:szCs w:val="24"/>
          <w:highlight w:val="none"/>
        </w:rPr>
      </w:pPr>
      <w:r>
        <w:rPr>
          <w:rFonts w:hint="eastAsia" w:ascii="宋体" w:hAnsi="宋体" w:eastAsia="宋体" w:cs="宋体"/>
          <w:bCs/>
          <w:color w:val="auto"/>
          <w:kern w:val="0"/>
          <w:sz w:val="24"/>
          <w:szCs w:val="24"/>
          <w:highlight w:val="none"/>
        </w:rPr>
        <w:t>2.10.1如果任何一方遭遇法律规定的不可抗力，致使合同履行受阻时，履行合同的期限应予延长，延长的期限应相当于不可抗力所影响的时间。</w:t>
      </w:r>
    </w:p>
    <w:p w14:paraId="6AB6A89E">
      <w:pPr>
        <w:keepNext w:val="0"/>
        <w:keepLines w:val="0"/>
        <w:pageBreakBefore w:val="0"/>
        <w:kinsoku/>
        <w:wordWrap/>
        <w:overflowPunct/>
        <w:topLinePunct w:val="0"/>
        <w:bidi w:val="0"/>
        <w:snapToGrid/>
        <w:spacing w:line="460" w:lineRule="exact"/>
        <w:ind w:firstLine="480" w:firstLineChars="200"/>
        <w:rPr>
          <w:rFonts w:hint="eastAsia" w:ascii="宋体" w:hAnsi="宋体" w:eastAsia="宋体" w:cs="宋体"/>
          <w:bCs/>
          <w:color w:val="auto"/>
          <w:kern w:val="0"/>
          <w:sz w:val="24"/>
          <w:szCs w:val="24"/>
          <w:highlight w:val="none"/>
        </w:rPr>
      </w:pPr>
      <w:r>
        <w:rPr>
          <w:rFonts w:hint="eastAsia" w:ascii="宋体" w:hAnsi="宋体" w:eastAsia="宋体" w:cs="宋体"/>
          <w:bCs/>
          <w:color w:val="auto"/>
          <w:kern w:val="0"/>
          <w:sz w:val="24"/>
          <w:szCs w:val="24"/>
          <w:highlight w:val="none"/>
        </w:rPr>
        <w:t>2.10.2因不可抗力致使不能实现合同目的的，当事人可以解除合同。</w:t>
      </w:r>
    </w:p>
    <w:p w14:paraId="0E60E490">
      <w:pPr>
        <w:keepNext w:val="0"/>
        <w:keepLines w:val="0"/>
        <w:pageBreakBefore w:val="0"/>
        <w:kinsoku/>
        <w:wordWrap/>
        <w:overflowPunct/>
        <w:topLinePunct w:val="0"/>
        <w:bidi w:val="0"/>
        <w:snapToGrid/>
        <w:spacing w:line="460" w:lineRule="exact"/>
        <w:ind w:firstLine="480" w:firstLineChars="200"/>
        <w:rPr>
          <w:rFonts w:hint="eastAsia" w:ascii="宋体" w:hAnsi="宋体" w:eastAsia="宋体" w:cs="宋体"/>
          <w:bCs/>
          <w:color w:val="auto"/>
          <w:kern w:val="0"/>
          <w:sz w:val="24"/>
          <w:szCs w:val="24"/>
          <w:highlight w:val="none"/>
        </w:rPr>
      </w:pPr>
      <w:r>
        <w:rPr>
          <w:rFonts w:hint="eastAsia" w:ascii="宋体" w:hAnsi="宋体" w:eastAsia="宋体" w:cs="宋体"/>
          <w:bCs/>
          <w:color w:val="auto"/>
          <w:kern w:val="0"/>
          <w:sz w:val="24"/>
          <w:szCs w:val="24"/>
          <w:highlight w:val="none"/>
        </w:rPr>
        <w:t>2.10.3因不可抗力致使合同有变更必要的，双方当事人应在</w:t>
      </w:r>
      <w:r>
        <w:rPr>
          <w:rFonts w:hint="eastAsia" w:ascii="宋体" w:hAnsi="宋体" w:eastAsia="宋体" w:cs="宋体"/>
          <w:b/>
          <w:bCs/>
          <w:color w:val="auto"/>
          <w:kern w:val="0"/>
          <w:sz w:val="24"/>
          <w:szCs w:val="24"/>
          <w:highlight w:val="none"/>
          <w:u w:val="single"/>
        </w:rPr>
        <w:t>7个工作日内</w:t>
      </w:r>
      <w:r>
        <w:rPr>
          <w:rFonts w:hint="eastAsia" w:ascii="宋体" w:hAnsi="宋体" w:eastAsia="宋体" w:cs="宋体"/>
          <w:bCs/>
          <w:color w:val="auto"/>
          <w:kern w:val="0"/>
          <w:sz w:val="24"/>
          <w:szCs w:val="24"/>
          <w:highlight w:val="none"/>
        </w:rPr>
        <w:t>以书面形式变更合同。</w:t>
      </w:r>
    </w:p>
    <w:p w14:paraId="673F7CC6">
      <w:pPr>
        <w:keepNext w:val="0"/>
        <w:keepLines w:val="0"/>
        <w:pageBreakBefore w:val="0"/>
        <w:kinsoku/>
        <w:wordWrap/>
        <w:overflowPunct/>
        <w:topLinePunct w:val="0"/>
        <w:bidi w:val="0"/>
        <w:snapToGrid/>
        <w:spacing w:line="460" w:lineRule="exact"/>
        <w:ind w:firstLine="480" w:firstLineChars="200"/>
        <w:rPr>
          <w:rFonts w:hint="eastAsia" w:ascii="宋体" w:hAnsi="宋体" w:eastAsia="宋体" w:cs="宋体"/>
          <w:bCs/>
          <w:color w:val="auto"/>
          <w:kern w:val="0"/>
          <w:sz w:val="24"/>
          <w:szCs w:val="24"/>
          <w:highlight w:val="none"/>
        </w:rPr>
      </w:pPr>
      <w:r>
        <w:rPr>
          <w:rFonts w:hint="eastAsia" w:ascii="宋体" w:hAnsi="宋体" w:eastAsia="宋体" w:cs="宋体"/>
          <w:bCs/>
          <w:color w:val="auto"/>
          <w:kern w:val="0"/>
          <w:sz w:val="24"/>
          <w:szCs w:val="24"/>
          <w:highlight w:val="none"/>
        </w:rPr>
        <w:t>2.10.4受不可抗力影响的一方在不可抗力发生后，应在</w:t>
      </w:r>
      <w:r>
        <w:rPr>
          <w:rFonts w:hint="eastAsia" w:ascii="宋体" w:hAnsi="宋体" w:eastAsia="宋体" w:cs="宋体"/>
          <w:b/>
          <w:bCs/>
          <w:color w:val="auto"/>
          <w:kern w:val="0"/>
          <w:sz w:val="24"/>
          <w:szCs w:val="24"/>
          <w:highlight w:val="none"/>
          <w:u w:val="single"/>
        </w:rPr>
        <w:t>7个工作日</w:t>
      </w:r>
      <w:r>
        <w:rPr>
          <w:rFonts w:hint="eastAsia" w:ascii="宋体" w:hAnsi="宋体" w:eastAsia="宋体" w:cs="宋体"/>
          <w:bCs/>
          <w:color w:val="auto"/>
          <w:kern w:val="0"/>
          <w:sz w:val="24"/>
          <w:szCs w:val="24"/>
          <w:highlight w:val="none"/>
        </w:rPr>
        <w:t>内以书面形式通知对方当事人，并在</w:t>
      </w:r>
      <w:r>
        <w:rPr>
          <w:rFonts w:hint="eastAsia" w:ascii="宋体" w:hAnsi="宋体" w:eastAsia="宋体" w:cs="宋体"/>
          <w:b/>
          <w:bCs/>
          <w:color w:val="auto"/>
          <w:kern w:val="0"/>
          <w:sz w:val="24"/>
          <w:szCs w:val="24"/>
          <w:highlight w:val="none"/>
          <w:u w:val="single"/>
        </w:rPr>
        <w:t>7个工作日</w:t>
      </w:r>
      <w:r>
        <w:rPr>
          <w:rFonts w:hint="eastAsia" w:ascii="宋体" w:hAnsi="宋体" w:eastAsia="宋体" w:cs="宋体"/>
          <w:bCs/>
          <w:color w:val="auto"/>
          <w:kern w:val="0"/>
          <w:sz w:val="24"/>
          <w:szCs w:val="24"/>
          <w:highlight w:val="none"/>
        </w:rPr>
        <w:t>内，将有关部门出具的证明文件送达对方当事人。</w:t>
      </w:r>
    </w:p>
    <w:p w14:paraId="283906AA">
      <w:pPr>
        <w:keepNext w:val="0"/>
        <w:keepLines w:val="0"/>
        <w:pageBreakBefore w:val="0"/>
        <w:kinsoku/>
        <w:wordWrap/>
        <w:overflowPunct/>
        <w:topLinePunct w:val="0"/>
        <w:bidi w:val="0"/>
        <w:snapToGrid/>
        <w:spacing w:line="460" w:lineRule="exact"/>
        <w:rPr>
          <w:rFonts w:hint="eastAsia" w:ascii="宋体" w:hAnsi="宋体" w:eastAsia="宋体" w:cs="宋体"/>
          <w:b/>
          <w:bCs/>
          <w:color w:val="auto"/>
          <w:kern w:val="0"/>
          <w:sz w:val="24"/>
          <w:szCs w:val="24"/>
          <w:highlight w:val="none"/>
        </w:rPr>
      </w:pPr>
      <w:bookmarkStart w:id="221" w:name="_Toc279701255"/>
      <w:bookmarkStart w:id="222" w:name="_Toc25783"/>
      <w:bookmarkStart w:id="223" w:name="_Toc3638"/>
      <w:bookmarkStart w:id="224" w:name="_Toc24465"/>
      <w:bookmarkStart w:id="225" w:name="_Toc23854"/>
      <w:bookmarkStart w:id="226" w:name="_Toc259093684"/>
      <w:bookmarkStart w:id="227" w:name="_Toc14115"/>
      <w:bookmarkStart w:id="228" w:name="_Toc487900365"/>
      <w:r>
        <w:rPr>
          <w:rFonts w:hint="eastAsia" w:ascii="宋体" w:hAnsi="宋体" w:eastAsia="宋体" w:cs="宋体"/>
          <w:b/>
          <w:bCs/>
          <w:color w:val="auto"/>
          <w:kern w:val="0"/>
          <w:sz w:val="24"/>
          <w:szCs w:val="24"/>
          <w:highlight w:val="none"/>
        </w:rPr>
        <w:t>2.11 税费</w:t>
      </w:r>
      <w:bookmarkEnd w:id="221"/>
      <w:bookmarkEnd w:id="222"/>
      <w:bookmarkEnd w:id="223"/>
      <w:bookmarkEnd w:id="224"/>
      <w:bookmarkEnd w:id="225"/>
      <w:bookmarkEnd w:id="226"/>
      <w:bookmarkEnd w:id="227"/>
      <w:bookmarkEnd w:id="228"/>
    </w:p>
    <w:p w14:paraId="5B8F1308">
      <w:pPr>
        <w:keepNext w:val="0"/>
        <w:keepLines w:val="0"/>
        <w:pageBreakBefore w:val="0"/>
        <w:kinsoku/>
        <w:wordWrap/>
        <w:overflowPunct/>
        <w:topLinePunct w:val="0"/>
        <w:bidi w:val="0"/>
        <w:snapToGrid/>
        <w:spacing w:line="460" w:lineRule="exact"/>
        <w:ind w:firstLine="480" w:firstLineChars="200"/>
        <w:rPr>
          <w:rFonts w:hint="eastAsia" w:ascii="宋体" w:hAnsi="宋体" w:eastAsia="宋体" w:cs="宋体"/>
          <w:bCs/>
          <w:color w:val="auto"/>
          <w:kern w:val="0"/>
          <w:sz w:val="24"/>
          <w:szCs w:val="24"/>
          <w:highlight w:val="none"/>
        </w:rPr>
      </w:pPr>
      <w:r>
        <w:rPr>
          <w:rFonts w:hint="eastAsia" w:ascii="宋体" w:hAnsi="宋体" w:eastAsia="宋体" w:cs="宋体"/>
          <w:bCs/>
          <w:color w:val="auto"/>
          <w:kern w:val="0"/>
          <w:sz w:val="24"/>
          <w:szCs w:val="24"/>
          <w:highlight w:val="none"/>
        </w:rPr>
        <w:t>与合同有关的一切税费，均按照中华人民共和国法律的相关规定缴纳。</w:t>
      </w:r>
    </w:p>
    <w:p w14:paraId="279A06DF">
      <w:pPr>
        <w:keepNext w:val="0"/>
        <w:keepLines w:val="0"/>
        <w:pageBreakBefore w:val="0"/>
        <w:kinsoku/>
        <w:wordWrap/>
        <w:overflowPunct/>
        <w:topLinePunct w:val="0"/>
        <w:bidi w:val="0"/>
        <w:snapToGrid/>
        <w:spacing w:line="460" w:lineRule="exact"/>
        <w:rPr>
          <w:rFonts w:hint="eastAsia" w:ascii="宋体" w:hAnsi="宋体" w:eastAsia="宋体" w:cs="宋体"/>
          <w:b/>
          <w:bCs/>
          <w:color w:val="auto"/>
          <w:kern w:val="0"/>
          <w:sz w:val="24"/>
          <w:szCs w:val="24"/>
          <w:highlight w:val="none"/>
        </w:rPr>
      </w:pPr>
      <w:bookmarkStart w:id="229" w:name="_Toc487900368"/>
      <w:bookmarkStart w:id="230" w:name="_Toc7315"/>
      <w:bookmarkStart w:id="231" w:name="_Toc259093687"/>
      <w:bookmarkStart w:id="232" w:name="_Toc30105"/>
      <w:bookmarkStart w:id="233" w:name="_Toc279701258"/>
      <w:bookmarkStart w:id="234" w:name="_Toc14814"/>
      <w:bookmarkStart w:id="235" w:name="_Toc25525"/>
      <w:bookmarkStart w:id="236" w:name="_Toc26883"/>
      <w:r>
        <w:rPr>
          <w:rFonts w:hint="eastAsia" w:ascii="宋体" w:hAnsi="宋体" w:eastAsia="宋体" w:cs="宋体"/>
          <w:b/>
          <w:bCs/>
          <w:color w:val="auto"/>
          <w:kern w:val="0"/>
          <w:sz w:val="24"/>
          <w:szCs w:val="24"/>
          <w:highlight w:val="none"/>
        </w:rPr>
        <w:t>2.12 乙方破产</w:t>
      </w:r>
      <w:bookmarkEnd w:id="229"/>
      <w:bookmarkEnd w:id="230"/>
      <w:bookmarkEnd w:id="231"/>
      <w:bookmarkEnd w:id="232"/>
      <w:bookmarkEnd w:id="233"/>
      <w:bookmarkEnd w:id="234"/>
      <w:bookmarkEnd w:id="235"/>
      <w:bookmarkEnd w:id="236"/>
    </w:p>
    <w:p w14:paraId="6A0A4EF4">
      <w:pPr>
        <w:keepNext w:val="0"/>
        <w:keepLines w:val="0"/>
        <w:pageBreakBefore w:val="0"/>
        <w:kinsoku/>
        <w:wordWrap/>
        <w:overflowPunct/>
        <w:topLinePunct w:val="0"/>
        <w:bidi w:val="0"/>
        <w:snapToGrid/>
        <w:spacing w:line="460" w:lineRule="exact"/>
        <w:ind w:firstLine="480" w:firstLineChars="200"/>
        <w:rPr>
          <w:rFonts w:hint="eastAsia" w:ascii="宋体" w:hAnsi="宋体" w:eastAsia="宋体" w:cs="宋体"/>
          <w:bCs/>
          <w:color w:val="auto"/>
          <w:kern w:val="0"/>
          <w:sz w:val="24"/>
          <w:szCs w:val="24"/>
          <w:highlight w:val="none"/>
        </w:rPr>
      </w:pPr>
      <w:r>
        <w:rPr>
          <w:rFonts w:hint="eastAsia" w:ascii="宋体" w:hAnsi="宋体" w:eastAsia="宋体" w:cs="宋体"/>
          <w:bCs/>
          <w:color w:val="auto"/>
          <w:kern w:val="0"/>
          <w:sz w:val="24"/>
          <w:szCs w:val="24"/>
          <w:highlight w:val="none"/>
        </w:rPr>
        <w:t>如果乙方破产导致合同无法履行时，甲方可以书面形式通知乙方终止合同且不给予乙方任何补偿和赔偿，但合同的终止不损害或不影响甲方已经采取或将要采取的任何要求乙方支付违约金、赔偿损失等的行动或补救措施的权利。</w:t>
      </w:r>
    </w:p>
    <w:p w14:paraId="0EACBE09">
      <w:pPr>
        <w:keepNext w:val="0"/>
        <w:keepLines w:val="0"/>
        <w:pageBreakBefore w:val="0"/>
        <w:kinsoku/>
        <w:wordWrap/>
        <w:overflowPunct/>
        <w:topLinePunct w:val="0"/>
        <w:bidi w:val="0"/>
        <w:snapToGrid/>
        <w:spacing w:line="460" w:lineRule="exact"/>
        <w:rPr>
          <w:rFonts w:hint="eastAsia" w:ascii="宋体" w:hAnsi="宋体" w:eastAsia="宋体" w:cs="宋体"/>
          <w:b/>
          <w:bCs/>
          <w:color w:val="auto"/>
          <w:kern w:val="0"/>
          <w:sz w:val="24"/>
          <w:szCs w:val="24"/>
          <w:highlight w:val="none"/>
        </w:rPr>
      </w:pPr>
      <w:bookmarkStart w:id="237" w:name="_Toc1123"/>
      <w:bookmarkStart w:id="238" w:name="_Toc2016"/>
      <w:bookmarkStart w:id="239" w:name="_Toc23323"/>
      <w:r>
        <w:rPr>
          <w:rFonts w:hint="eastAsia" w:ascii="宋体" w:hAnsi="宋体" w:eastAsia="宋体" w:cs="宋体"/>
          <w:b/>
          <w:bCs/>
          <w:color w:val="auto"/>
          <w:kern w:val="0"/>
          <w:sz w:val="24"/>
          <w:szCs w:val="24"/>
          <w:highlight w:val="none"/>
        </w:rPr>
        <w:t>2.13 合同中止、终止</w:t>
      </w:r>
      <w:bookmarkEnd w:id="237"/>
      <w:bookmarkEnd w:id="238"/>
      <w:bookmarkEnd w:id="239"/>
    </w:p>
    <w:p w14:paraId="708EDFAF">
      <w:pPr>
        <w:keepNext w:val="0"/>
        <w:keepLines w:val="0"/>
        <w:pageBreakBefore w:val="0"/>
        <w:kinsoku/>
        <w:wordWrap/>
        <w:overflowPunct/>
        <w:topLinePunct w:val="0"/>
        <w:bidi w:val="0"/>
        <w:snapToGrid/>
        <w:spacing w:line="460" w:lineRule="exact"/>
        <w:ind w:firstLine="480" w:firstLineChars="200"/>
        <w:rPr>
          <w:rFonts w:hint="eastAsia" w:ascii="宋体" w:hAnsi="宋体" w:eastAsia="宋体" w:cs="宋体"/>
          <w:bCs/>
          <w:color w:val="auto"/>
          <w:kern w:val="0"/>
          <w:sz w:val="24"/>
          <w:szCs w:val="24"/>
          <w:highlight w:val="none"/>
        </w:rPr>
      </w:pPr>
      <w:r>
        <w:rPr>
          <w:rFonts w:hint="eastAsia" w:ascii="宋体" w:hAnsi="宋体" w:eastAsia="宋体" w:cs="宋体"/>
          <w:bCs/>
          <w:color w:val="auto"/>
          <w:kern w:val="0"/>
          <w:sz w:val="24"/>
          <w:szCs w:val="24"/>
          <w:highlight w:val="none"/>
        </w:rPr>
        <w:t>2.13.1双方当事人不得擅自中止或者终止合同。</w:t>
      </w:r>
    </w:p>
    <w:p w14:paraId="3CA2C540">
      <w:pPr>
        <w:keepNext w:val="0"/>
        <w:keepLines w:val="0"/>
        <w:pageBreakBefore w:val="0"/>
        <w:kinsoku/>
        <w:wordWrap/>
        <w:overflowPunct/>
        <w:topLinePunct w:val="0"/>
        <w:bidi w:val="0"/>
        <w:snapToGrid/>
        <w:spacing w:line="460" w:lineRule="exact"/>
        <w:ind w:firstLine="480" w:firstLineChars="200"/>
        <w:rPr>
          <w:rFonts w:hint="eastAsia" w:ascii="宋体" w:hAnsi="宋体" w:eastAsia="宋体" w:cs="宋体"/>
          <w:bCs/>
          <w:color w:val="auto"/>
          <w:kern w:val="0"/>
          <w:sz w:val="24"/>
          <w:szCs w:val="24"/>
          <w:highlight w:val="none"/>
        </w:rPr>
      </w:pPr>
      <w:r>
        <w:rPr>
          <w:rFonts w:hint="eastAsia" w:ascii="宋体" w:hAnsi="宋体" w:eastAsia="宋体" w:cs="宋体"/>
          <w:bCs/>
          <w:color w:val="auto"/>
          <w:kern w:val="0"/>
          <w:sz w:val="24"/>
          <w:szCs w:val="24"/>
          <w:highlight w:val="none"/>
        </w:rPr>
        <w:t>2.13.2合同继续履行将损害国家利益和社会公共利益的，甲方有权中止或者终止、解除合同。有过错的一方应当承担赔偿责任，双方当事人都有过错的，各自承担相应的责任。</w:t>
      </w:r>
    </w:p>
    <w:bookmarkEnd w:id="204"/>
    <w:bookmarkEnd w:id="205"/>
    <w:bookmarkEnd w:id="206"/>
    <w:bookmarkEnd w:id="207"/>
    <w:p w14:paraId="6A164FC8">
      <w:pPr>
        <w:keepNext w:val="0"/>
        <w:keepLines w:val="0"/>
        <w:pageBreakBefore w:val="0"/>
        <w:kinsoku/>
        <w:wordWrap/>
        <w:overflowPunct/>
        <w:topLinePunct w:val="0"/>
        <w:bidi w:val="0"/>
        <w:snapToGrid/>
        <w:spacing w:line="460" w:lineRule="exact"/>
        <w:rPr>
          <w:rFonts w:hint="eastAsia" w:ascii="宋体" w:hAnsi="宋体" w:eastAsia="宋体" w:cs="宋体"/>
          <w:b/>
          <w:bCs/>
          <w:color w:val="auto"/>
          <w:kern w:val="0"/>
          <w:sz w:val="24"/>
          <w:szCs w:val="24"/>
          <w:highlight w:val="none"/>
        </w:rPr>
      </w:pPr>
      <w:bookmarkStart w:id="240" w:name="_Toc259093690"/>
      <w:bookmarkStart w:id="241" w:name="_Toc487900371"/>
      <w:bookmarkStart w:id="242" w:name="_Toc279701261"/>
      <w:bookmarkStart w:id="243" w:name="_Toc25198"/>
      <w:bookmarkStart w:id="244" w:name="_Toc12666"/>
      <w:bookmarkStart w:id="245" w:name="_Toc31892"/>
      <w:bookmarkStart w:id="246" w:name="_Toc2308"/>
      <w:bookmarkStart w:id="247" w:name="_Toc9808"/>
      <w:r>
        <w:rPr>
          <w:rFonts w:hint="eastAsia" w:ascii="宋体" w:hAnsi="宋体" w:eastAsia="宋体" w:cs="宋体"/>
          <w:b/>
          <w:bCs/>
          <w:color w:val="auto"/>
          <w:kern w:val="0"/>
          <w:sz w:val="24"/>
          <w:szCs w:val="24"/>
          <w:highlight w:val="none"/>
        </w:rPr>
        <w:t>2.14 通知</w:t>
      </w:r>
      <w:bookmarkEnd w:id="240"/>
      <w:bookmarkEnd w:id="241"/>
      <w:bookmarkEnd w:id="242"/>
      <w:r>
        <w:rPr>
          <w:rFonts w:hint="eastAsia" w:ascii="宋体" w:hAnsi="宋体" w:eastAsia="宋体" w:cs="宋体"/>
          <w:b/>
          <w:bCs/>
          <w:color w:val="auto"/>
          <w:kern w:val="0"/>
          <w:sz w:val="24"/>
          <w:szCs w:val="24"/>
          <w:highlight w:val="none"/>
        </w:rPr>
        <w:t>和送达</w:t>
      </w:r>
      <w:bookmarkEnd w:id="243"/>
      <w:bookmarkEnd w:id="244"/>
      <w:bookmarkEnd w:id="245"/>
      <w:bookmarkEnd w:id="246"/>
      <w:bookmarkEnd w:id="247"/>
    </w:p>
    <w:p w14:paraId="5517A51C">
      <w:pPr>
        <w:keepNext w:val="0"/>
        <w:keepLines w:val="0"/>
        <w:pageBreakBefore w:val="0"/>
        <w:kinsoku/>
        <w:wordWrap/>
        <w:overflowPunct/>
        <w:topLinePunct w:val="0"/>
        <w:bidi w:val="0"/>
        <w:snapToGrid/>
        <w:spacing w:line="460" w:lineRule="exact"/>
        <w:ind w:firstLine="480" w:firstLineChars="200"/>
        <w:rPr>
          <w:rFonts w:hint="eastAsia" w:ascii="宋体" w:hAnsi="宋体" w:eastAsia="宋体" w:cs="宋体"/>
          <w:bCs/>
          <w:color w:val="auto"/>
          <w:kern w:val="0"/>
          <w:sz w:val="24"/>
          <w:szCs w:val="24"/>
          <w:highlight w:val="none"/>
        </w:rPr>
      </w:pPr>
      <w:bookmarkStart w:id="248" w:name="_Toc29220"/>
      <w:bookmarkStart w:id="249" w:name="_Toc7073"/>
      <w:bookmarkStart w:id="250" w:name="_Toc487900372"/>
      <w:bookmarkStart w:id="251" w:name="_Toc259093691"/>
      <w:bookmarkStart w:id="252" w:name="_Toc279701262"/>
      <w:r>
        <w:rPr>
          <w:rFonts w:hint="eastAsia" w:ascii="宋体" w:hAnsi="宋体" w:eastAsia="宋体" w:cs="宋体"/>
          <w:bCs/>
          <w:color w:val="auto"/>
          <w:kern w:val="0"/>
          <w:sz w:val="24"/>
          <w:szCs w:val="24"/>
          <w:highlight w:val="none"/>
        </w:rPr>
        <w:t>2.14.1任何一方因履行合同而以合同第一部分尾部所列明的</w:t>
      </w:r>
      <w:r>
        <w:rPr>
          <w:rFonts w:hint="eastAsia" w:ascii="宋体" w:hAnsi="宋体" w:eastAsia="宋体" w:cs="宋体"/>
          <w:b/>
          <w:bCs/>
          <w:color w:val="auto"/>
          <w:kern w:val="0"/>
          <w:sz w:val="24"/>
          <w:szCs w:val="24"/>
          <w:highlight w:val="none"/>
          <w:u w:val="single"/>
        </w:rPr>
        <w:t>内容</w:t>
      </w:r>
      <w:r>
        <w:rPr>
          <w:rFonts w:hint="eastAsia" w:ascii="宋体" w:hAnsi="宋体" w:eastAsia="宋体" w:cs="宋体"/>
          <w:bCs/>
          <w:color w:val="auto"/>
          <w:kern w:val="0"/>
          <w:sz w:val="24"/>
          <w:szCs w:val="24"/>
          <w:highlight w:val="none"/>
        </w:rPr>
        <w:t>发出的所有通知、文件、材料，均视为已向对方当事人送达；任何一方变更上述送达方式或者地址的，应于</w:t>
      </w:r>
      <w:r>
        <w:rPr>
          <w:rFonts w:hint="eastAsia" w:ascii="宋体" w:hAnsi="宋体" w:eastAsia="宋体" w:cs="宋体"/>
          <w:b/>
          <w:bCs/>
          <w:color w:val="auto"/>
          <w:kern w:val="0"/>
          <w:sz w:val="24"/>
          <w:szCs w:val="24"/>
          <w:highlight w:val="none"/>
          <w:u w:val="single"/>
        </w:rPr>
        <w:t>5个工作日</w:t>
      </w:r>
      <w:r>
        <w:rPr>
          <w:rFonts w:hint="eastAsia" w:ascii="宋体" w:hAnsi="宋体" w:eastAsia="宋体" w:cs="宋体"/>
          <w:bCs/>
          <w:color w:val="auto"/>
          <w:kern w:val="0"/>
          <w:sz w:val="24"/>
          <w:szCs w:val="24"/>
          <w:highlight w:val="none"/>
        </w:rPr>
        <w:t>内书面通知对方当事人，在对方当事人收到有关变更通知之前，变更前的约定送达方式或者地址仍视为有效。</w:t>
      </w:r>
      <w:bookmarkEnd w:id="248"/>
      <w:bookmarkEnd w:id="249"/>
    </w:p>
    <w:p w14:paraId="2479F0BB">
      <w:pPr>
        <w:keepNext w:val="0"/>
        <w:keepLines w:val="0"/>
        <w:pageBreakBefore w:val="0"/>
        <w:kinsoku/>
        <w:wordWrap/>
        <w:overflowPunct/>
        <w:topLinePunct w:val="0"/>
        <w:bidi w:val="0"/>
        <w:snapToGrid/>
        <w:spacing w:line="460" w:lineRule="exact"/>
        <w:ind w:firstLine="480" w:firstLineChars="200"/>
        <w:rPr>
          <w:rFonts w:hint="eastAsia" w:ascii="宋体" w:hAnsi="宋体" w:eastAsia="宋体" w:cs="宋体"/>
          <w:bCs/>
          <w:color w:val="auto"/>
          <w:kern w:val="0"/>
          <w:sz w:val="24"/>
          <w:szCs w:val="24"/>
          <w:highlight w:val="none"/>
        </w:rPr>
      </w:pPr>
      <w:bookmarkStart w:id="253" w:name="_Toc18401"/>
      <w:bookmarkStart w:id="254" w:name="_Toc27674"/>
      <w:r>
        <w:rPr>
          <w:rFonts w:hint="eastAsia" w:ascii="宋体" w:hAnsi="宋体" w:eastAsia="宋体" w:cs="宋体"/>
          <w:bCs/>
          <w:color w:val="auto"/>
          <w:kern w:val="0"/>
          <w:sz w:val="24"/>
          <w:szCs w:val="24"/>
          <w:highlight w:val="none"/>
        </w:rPr>
        <w:t>2.14.2以当面交付方式送达的，交付之时视为送达；以电子邮件方式送达的，发出电子邮件之时视为送达；以传真方式送达的，发出传真之时视为送达；以邮寄方式送达的，邮件挂号寄出或者交邮之日之次日视为送达。</w:t>
      </w:r>
      <w:bookmarkEnd w:id="253"/>
      <w:bookmarkEnd w:id="254"/>
    </w:p>
    <w:bookmarkEnd w:id="250"/>
    <w:bookmarkEnd w:id="251"/>
    <w:bookmarkEnd w:id="252"/>
    <w:p w14:paraId="66885041">
      <w:pPr>
        <w:keepNext w:val="0"/>
        <w:keepLines w:val="0"/>
        <w:pageBreakBefore w:val="0"/>
        <w:kinsoku/>
        <w:wordWrap/>
        <w:overflowPunct/>
        <w:topLinePunct w:val="0"/>
        <w:bidi w:val="0"/>
        <w:snapToGrid/>
        <w:spacing w:line="460" w:lineRule="exact"/>
        <w:rPr>
          <w:rFonts w:hint="eastAsia" w:ascii="宋体" w:hAnsi="宋体" w:eastAsia="宋体" w:cs="宋体"/>
          <w:b/>
          <w:bCs/>
          <w:color w:val="auto"/>
          <w:kern w:val="0"/>
          <w:sz w:val="24"/>
          <w:szCs w:val="24"/>
          <w:highlight w:val="none"/>
        </w:rPr>
      </w:pPr>
      <w:bookmarkStart w:id="255" w:name="_Toc5063"/>
      <w:bookmarkStart w:id="256" w:name="_Toc20808"/>
      <w:bookmarkStart w:id="257" w:name="_Toc12254"/>
      <w:bookmarkStart w:id="258" w:name="_Toc27644"/>
      <w:bookmarkStart w:id="259" w:name="_Toc259093692"/>
      <w:bookmarkStart w:id="260" w:name="_Toc487900373"/>
      <w:bookmarkStart w:id="261" w:name="_Toc28906"/>
      <w:bookmarkStart w:id="262" w:name="_Toc279701263"/>
      <w:r>
        <w:rPr>
          <w:rFonts w:hint="eastAsia" w:ascii="宋体" w:hAnsi="宋体" w:eastAsia="宋体" w:cs="宋体"/>
          <w:b/>
          <w:bCs/>
          <w:color w:val="auto"/>
          <w:kern w:val="0"/>
          <w:sz w:val="24"/>
          <w:szCs w:val="24"/>
          <w:highlight w:val="none"/>
        </w:rPr>
        <w:t>2.15 合同使用的文字和适用的法律</w:t>
      </w:r>
      <w:bookmarkEnd w:id="255"/>
      <w:bookmarkEnd w:id="256"/>
      <w:bookmarkEnd w:id="257"/>
      <w:bookmarkEnd w:id="258"/>
      <w:bookmarkEnd w:id="259"/>
      <w:bookmarkEnd w:id="260"/>
      <w:bookmarkEnd w:id="261"/>
      <w:bookmarkEnd w:id="262"/>
    </w:p>
    <w:p w14:paraId="5C4E9156">
      <w:pPr>
        <w:keepNext w:val="0"/>
        <w:keepLines w:val="0"/>
        <w:pageBreakBefore w:val="0"/>
        <w:kinsoku/>
        <w:wordWrap/>
        <w:overflowPunct/>
        <w:topLinePunct w:val="0"/>
        <w:bidi w:val="0"/>
        <w:snapToGrid/>
        <w:spacing w:line="460" w:lineRule="exact"/>
        <w:ind w:firstLine="480" w:firstLineChars="200"/>
        <w:rPr>
          <w:rFonts w:hint="eastAsia" w:ascii="宋体" w:hAnsi="宋体" w:eastAsia="宋体" w:cs="宋体"/>
          <w:bCs/>
          <w:color w:val="auto"/>
          <w:kern w:val="0"/>
          <w:sz w:val="24"/>
          <w:szCs w:val="24"/>
          <w:highlight w:val="none"/>
        </w:rPr>
      </w:pPr>
      <w:r>
        <w:rPr>
          <w:rFonts w:hint="eastAsia" w:ascii="宋体" w:hAnsi="宋体" w:eastAsia="宋体" w:cs="宋体"/>
          <w:bCs/>
          <w:color w:val="auto"/>
          <w:kern w:val="0"/>
          <w:sz w:val="24"/>
          <w:szCs w:val="24"/>
          <w:highlight w:val="none"/>
        </w:rPr>
        <w:t>2.15.1合同使用汉语书就、变更和解释。</w:t>
      </w:r>
    </w:p>
    <w:p w14:paraId="5C7A34FB">
      <w:pPr>
        <w:keepNext w:val="0"/>
        <w:keepLines w:val="0"/>
        <w:pageBreakBefore w:val="0"/>
        <w:kinsoku/>
        <w:wordWrap/>
        <w:overflowPunct/>
        <w:topLinePunct w:val="0"/>
        <w:bidi w:val="0"/>
        <w:snapToGrid/>
        <w:spacing w:line="460" w:lineRule="exact"/>
        <w:ind w:firstLine="480" w:firstLineChars="200"/>
        <w:rPr>
          <w:rFonts w:hint="eastAsia" w:ascii="宋体" w:hAnsi="宋体" w:eastAsia="宋体" w:cs="宋体"/>
          <w:bCs/>
          <w:color w:val="auto"/>
          <w:kern w:val="0"/>
          <w:sz w:val="24"/>
          <w:szCs w:val="24"/>
          <w:highlight w:val="none"/>
        </w:rPr>
      </w:pPr>
      <w:r>
        <w:rPr>
          <w:rFonts w:hint="eastAsia" w:ascii="宋体" w:hAnsi="宋体" w:eastAsia="宋体" w:cs="宋体"/>
          <w:bCs/>
          <w:color w:val="auto"/>
          <w:kern w:val="0"/>
          <w:sz w:val="24"/>
          <w:szCs w:val="24"/>
          <w:highlight w:val="none"/>
        </w:rPr>
        <w:t>2.15.2合同适用中华人民共和国法律。</w:t>
      </w:r>
    </w:p>
    <w:p w14:paraId="2D6298DF">
      <w:pPr>
        <w:keepNext w:val="0"/>
        <w:keepLines w:val="0"/>
        <w:pageBreakBefore w:val="0"/>
        <w:kinsoku/>
        <w:wordWrap/>
        <w:overflowPunct/>
        <w:topLinePunct w:val="0"/>
        <w:bidi w:val="0"/>
        <w:snapToGrid/>
        <w:spacing w:line="460" w:lineRule="exact"/>
        <w:rPr>
          <w:rFonts w:hint="eastAsia" w:ascii="宋体" w:hAnsi="宋体" w:eastAsia="宋体" w:cs="宋体"/>
          <w:bCs/>
          <w:color w:val="auto"/>
          <w:kern w:val="0"/>
          <w:sz w:val="24"/>
          <w:szCs w:val="24"/>
          <w:highlight w:val="none"/>
        </w:rPr>
      </w:pPr>
      <w:bookmarkStart w:id="263" w:name="_Toc27127"/>
      <w:bookmarkStart w:id="264" w:name="_Toc30096"/>
      <w:bookmarkStart w:id="265" w:name="_Toc27403"/>
      <w:bookmarkStart w:id="266" w:name="_Toc22266"/>
      <w:bookmarkStart w:id="267" w:name="_Toc1492"/>
      <w:bookmarkStart w:id="268" w:name="_Toc259093693"/>
      <w:bookmarkStart w:id="269" w:name="_Toc279701264"/>
      <w:bookmarkStart w:id="270" w:name="_Toc487900374"/>
      <w:r>
        <w:rPr>
          <w:rFonts w:hint="eastAsia" w:ascii="宋体" w:hAnsi="宋体" w:eastAsia="宋体" w:cs="宋体"/>
          <w:b/>
          <w:bCs/>
          <w:color w:val="auto"/>
          <w:kern w:val="0"/>
          <w:sz w:val="24"/>
          <w:szCs w:val="24"/>
          <w:highlight w:val="none"/>
        </w:rPr>
        <w:t>2.16 履约保证金</w:t>
      </w:r>
      <w:bookmarkEnd w:id="263"/>
      <w:bookmarkEnd w:id="264"/>
      <w:bookmarkEnd w:id="265"/>
      <w:bookmarkEnd w:id="266"/>
      <w:bookmarkEnd w:id="267"/>
      <w:bookmarkEnd w:id="268"/>
      <w:bookmarkEnd w:id="269"/>
      <w:bookmarkEnd w:id="270"/>
      <w:bookmarkStart w:id="271" w:name="_Toc331685784"/>
    </w:p>
    <w:p w14:paraId="25A8D1C5">
      <w:pPr>
        <w:keepNext w:val="0"/>
        <w:keepLines w:val="0"/>
        <w:pageBreakBefore w:val="0"/>
        <w:kinsoku/>
        <w:wordWrap/>
        <w:overflowPunct/>
        <w:topLinePunct w:val="0"/>
        <w:bidi w:val="0"/>
        <w:snapToGrid/>
        <w:spacing w:line="460" w:lineRule="exact"/>
        <w:ind w:firstLine="480" w:firstLineChars="200"/>
        <w:rPr>
          <w:rFonts w:hint="eastAsia" w:ascii="宋体" w:hAnsi="宋体" w:eastAsia="宋体" w:cs="宋体"/>
          <w:bCs/>
          <w:color w:val="auto"/>
          <w:kern w:val="0"/>
          <w:sz w:val="24"/>
          <w:szCs w:val="24"/>
          <w:highlight w:val="none"/>
        </w:rPr>
      </w:pPr>
      <w:r>
        <w:rPr>
          <w:rFonts w:hint="eastAsia" w:ascii="宋体" w:hAnsi="宋体" w:eastAsia="宋体" w:cs="宋体"/>
          <w:bCs/>
          <w:color w:val="auto"/>
          <w:kern w:val="0"/>
          <w:sz w:val="24"/>
          <w:szCs w:val="24"/>
          <w:highlight w:val="none"/>
          <w:lang w:val="en-US" w:eastAsia="zh-CN"/>
        </w:rPr>
        <w:t>无</w:t>
      </w:r>
      <w:r>
        <w:rPr>
          <w:rFonts w:hint="eastAsia" w:ascii="宋体" w:hAnsi="宋体" w:eastAsia="宋体" w:cs="宋体"/>
          <w:bCs/>
          <w:color w:val="auto"/>
          <w:kern w:val="0"/>
          <w:sz w:val="24"/>
          <w:szCs w:val="24"/>
          <w:highlight w:val="none"/>
        </w:rPr>
        <w:t>。</w:t>
      </w:r>
    </w:p>
    <w:p w14:paraId="34CD8CAB">
      <w:pPr>
        <w:keepNext w:val="0"/>
        <w:keepLines w:val="0"/>
        <w:pageBreakBefore w:val="0"/>
        <w:kinsoku/>
        <w:wordWrap/>
        <w:overflowPunct/>
        <w:topLinePunct w:val="0"/>
        <w:bidi w:val="0"/>
        <w:snapToGrid/>
        <w:spacing w:line="460" w:lineRule="exact"/>
        <w:jc w:val="center"/>
        <w:rPr>
          <w:rFonts w:hint="eastAsia" w:ascii="宋体" w:hAnsi="宋体" w:eastAsia="宋体" w:cs="宋体"/>
          <w:b/>
          <w:color w:val="auto"/>
          <w:kern w:val="0"/>
          <w:sz w:val="28"/>
          <w:szCs w:val="28"/>
          <w:highlight w:val="none"/>
        </w:rPr>
      </w:pPr>
      <w:r>
        <w:rPr>
          <w:rFonts w:hint="eastAsia" w:ascii="宋体" w:hAnsi="宋体" w:eastAsia="宋体" w:cs="宋体"/>
          <w:b/>
          <w:color w:val="auto"/>
          <w:kern w:val="0"/>
          <w:sz w:val="28"/>
          <w:szCs w:val="28"/>
          <w:highlight w:val="none"/>
        </w:rPr>
        <w:t>第三部分  合同专用条款</w:t>
      </w:r>
      <w:bookmarkEnd w:id="271"/>
    </w:p>
    <w:p w14:paraId="6E2A0E59">
      <w:pPr>
        <w:keepNext w:val="0"/>
        <w:keepLines w:val="0"/>
        <w:pageBreakBefore w:val="0"/>
        <w:widowControl/>
        <w:kinsoku/>
        <w:wordWrap/>
        <w:overflowPunct/>
        <w:topLinePunct w:val="0"/>
        <w:bidi w:val="0"/>
        <w:snapToGrid/>
        <w:spacing w:line="460" w:lineRule="exact"/>
        <w:ind w:firstLine="480" w:firstLineChars="200"/>
        <w:rPr>
          <w:rFonts w:hint="eastAsia" w:ascii="宋体" w:hAnsi="宋体" w:eastAsia="宋体" w:cs="宋体"/>
          <w:bCs/>
          <w:color w:val="auto"/>
          <w:kern w:val="0"/>
          <w:sz w:val="24"/>
          <w:szCs w:val="24"/>
          <w:highlight w:val="none"/>
        </w:rPr>
      </w:pPr>
      <w:r>
        <w:rPr>
          <w:rFonts w:hint="eastAsia" w:ascii="宋体" w:hAnsi="宋体" w:eastAsia="宋体" w:cs="宋体"/>
          <w:bCs/>
          <w:color w:val="auto"/>
          <w:kern w:val="0"/>
          <w:sz w:val="24"/>
          <w:szCs w:val="24"/>
          <w:highlight w:val="none"/>
        </w:rPr>
        <w:t>本部分是对前两部分的补充和修改，如果前两部分和本部分的约定不一致，应以本部分的约定为准。本部分的条款号应与前两部分的条款号保持对应；与前两部分无对应关系的内容可另行编制条款号。</w:t>
      </w:r>
    </w:p>
    <w:tbl>
      <w:tblPr>
        <w:tblStyle w:val="54"/>
        <w:tblW w:w="9667" w:type="dxa"/>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28" w:type="dxa"/>
          <w:bottom w:w="0" w:type="dxa"/>
          <w:right w:w="28" w:type="dxa"/>
        </w:tblCellMar>
      </w:tblPr>
      <w:tblGrid>
        <w:gridCol w:w="1162"/>
        <w:gridCol w:w="8505"/>
      </w:tblGrid>
      <w:tr w14:paraId="1BEAA65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567" w:hRule="atLeast"/>
        </w:trPr>
        <w:tc>
          <w:tcPr>
            <w:tcW w:w="1162" w:type="dxa"/>
            <w:tcBorders>
              <w:left w:val="single" w:color="auto" w:sz="4" w:space="0"/>
            </w:tcBorders>
            <w:vAlign w:val="center"/>
          </w:tcPr>
          <w:p w14:paraId="59E29FFB">
            <w:pPr>
              <w:widowControl/>
              <w:spacing w:line="480" w:lineRule="exact"/>
              <w:jc w:val="center"/>
              <w:rPr>
                <w:rFonts w:hint="eastAsia" w:ascii="宋体" w:hAnsi="宋体" w:eastAsia="宋体" w:cs="宋体"/>
                <w:b/>
                <w:bCs/>
                <w:color w:val="auto"/>
                <w:kern w:val="0"/>
                <w:sz w:val="24"/>
                <w:szCs w:val="24"/>
                <w:highlight w:val="none"/>
              </w:rPr>
            </w:pPr>
            <w:r>
              <w:rPr>
                <w:rFonts w:hint="eastAsia" w:ascii="宋体" w:hAnsi="宋体" w:eastAsia="宋体" w:cs="宋体"/>
                <w:b/>
                <w:bCs/>
                <w:color w:val="auto"/>
                <w:kern w:val="0"/>
                <w:sz w:val="24"/>
                <w:szCs w:val="24"/>
                <w:highlight w:val="none"/>
              </w:rPr>
              <w:t>条款号</w:t>
            </w:r>
          </w:p>
        </w:tc>
        <w:tc>
          <w:tcPr>
            <w:tcW w:w="8505" w:type="dxa"/>
            <w:vAlign w:val="center"/>
          </w:tcPr>
          <w:p w14:paraId="615D620E">
            <w:pPr>
              <w:widowControl/>
              <w:spacing w:line="480" w:lineRule="exact"/>
              <w:jc w:val="center"/>
              <w:rPr>
                <w:rFonts w:hint="eastAsia" w:ascii="宋体" w:hAnsi="宋体" w:eastAsia="宋体" w:cs="宋体"/>
                <w:b/>
                <w:bCs/>
                <w:color w:val="auto"/>
                <w:kern w:val="0"/>
                <w:sz w:val="24"/>
                <w:szCs w:val="24"/>
                <w:highlight w:val="none"/>
              </w:rPr>
            </w:pPr>
            <w:r>
              <w:rPr>
                <w:rFonts w:hint="eastAsia" w:ascii="宋体" w:hAnsi="宋体" w:eastAsia="宋体" w:cs="宋体"/>
                <w:b/>
                <w:bCs/>
                <w:color w:val="auto"/>
                <w:kern w:val="0"/>
                <w:sz w:val="24"/>
                <w:szCs w:val="24"/>
                <w:highlight w:val="none"/>
              </w:rPr>
              <w:t>约定内容</w:t>
            </w:r>
          </w:p>
        </w:tc>
      </w:tr>
      <w:tr w14:paraId="3763ED2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352" w:hRule="atLeast"/>
        </w:trPr>
        <w:tc>
          <w:tcPr>
            <w:tcW w:w="1162" w:type="dxa"/>
            <w:tcBorders>
              <w:left w:val="single" w:color="auto" w:sz="4" w:space="0"/>
            </w:tcBorders>
            <w:vAlign w:val="center"/>
          </w:tcPr>
          <w:p w14:paraId="7F3EB2D8">
            <w:pPr>
              <w:widowControl/>
              <w:spacing w:line="480" w:lineRule="exact"/>
              <w:jc w:val="center"/>
              <w:rPr>
                <w:rFonts w:hint="eastAsia" w:ascii="宋体" w:hAnsi="宋体" w:eastAsia="宋体" w:cs="宋体"/>
                <w:bCs/>
                <w:color w:val="auto"/>
                <w:kern w:val="0"/>
                <w:sz w:val="24"/>
                <w:szCs w:val="24"/>
                <w:highlight w:val="none"/>
              </w:rPr>
            </w:pPr>
          </w:p>
        </w:tc>
        <w:tc>
          <w:tcPr>
            <w:tcW w:w="8505" w:type="dxa"/>
            <w:vAlign w:val="center"/>
          </w:tcPr>
          <w:p w14:paraId="3DDFB432">
            <w:pPr>
              <w:widowControl/>
              <w:rPr>
                <w:rFonts w:hint="eastAsia" w:ascii="宋体" w:hAnsi="宋体" w:eastAsia="宋体" w:cs="宋体"/>
                <w:color w:val="auto"/>
                <w:sz w:val="24"/>
                <w:szCs w:val="24"/>
                <w:highlight w:val="none"/>
              </w:rPr>
            </w:pPr>
          </w:p>
        </w:tc>
      </w:tr>
      <w:tr w14:paraId="72A921A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352" w:hRule="atLeast"/>
        </w:trPr>
        <w:tc>
          <w:tcPr>
            <w:tcW w:w="1162" w:type="dxa"/>
            <w:tcBorders>
              <w:left w:val="single" w:color="auto" w:sz="4" w:space="0"/>
            </w:tcBorders>
            <w:vAlign w:val="center"/>
          </w:tcPr>
          <w:p w14:paraId="6E59D482">
            <w:pPr>
              <w:widowControl/>
              <w:spacing w:line="480" w:lineRule="exact"/>
              <w:jc w:val="center"/>
              <w:rPr>
                <w:rFonts w:hint="eastAsia" w:ascii="宋体" w:hAnsi="宋体" w:eastAsia="宋体" w:cs="宋体"/>
                <w:bCs/>
                <w:color w:val="auto"/>
                <w:kern w:val="0"/>
                <w:sz w:val="24"/>
                <w:szCs w:val="24"/>
                <w:highlight w:val="none"/>
              </w:rPr>
            </w:pPr>
          </w:p>
        </w:tc>
        <w:tc>
          <w:tcPr>
            <w:tcW w:w="8505" w:type="dxa"/>
            <w:vAlign w:val="center"/>
          </w:tcPr>
          <w:p w14:paraId="402BD83D">
            <w:pPr>
              <w:widowControl/>
              <w:spacing w:line="420" w:lineRule="exact"/>
              <w:rPr>
                <w:rFonts w:hint="eastAsia" w:ascii="宋体" w:hAnsi="宋体" w:eastAsia="宋体" w:cs="宋体"/>
                <w:color w:val="auto"/>
                <w:sz w:val="24"/>
                <w:szCs w:val="24"/>
                <w:highlight w:val="none"/>
              </w:rPr>
            </w:pPr>
          </w:p>
        </w:tc>
      </w:tr>
    </w:tbl>
    <w:p w14:paraId="342D944D">
      <w:pPr>
        <w:widowControl/>
        <w:autoSpaceDE w:val="0"/>
        <w:autoSpaceDN w:val="0"/>
        <w:adjustRightInd w:val="0"/>
        <w:spacing w:line="440" w:lineRule="exact"/>
        <w:rPr>
          <w:rFonts w:hint="eastAsia" w:ascii="宋体" w:hAnsi="宋体" w:eastAsia="宋体" w:cs="宋体"/>
          <w:bCs/>
          <w:color w:val="auto"/>
          <w:kern w:val="0"/>
          <w:sz w:val="24"/>
          <w:szCs w:val="24"/>
          <w:highlight w:val="none"/>
        </w:rPr>
      </w:pPr>
    </w:p>
    <w:p w14:paraId="1481F8A2">
      <w:pPr>
        <w:widowControl/>
        <w:autoSpaceDE w:val="0"/>
        <w:autoSpaceDN w:val="0"/>
        <w:adjustRightInd w:val="0"/>
        <w:spacing w:line="440" w:lineRule="exact"/>
        <w:rPr>
          <w:rFonts w:hint="eastAsia" w:ascii="宋体" w:hAnsi="宋体" w:eastAsia="宋体" w:cs="宋体"/>
          <w:bCs/>
          <w:color w:val="auto"/>
          <w:kern w:val="0"/>
          <w:sz w:val="24"/>
          <w:szCs w:val="24"/>
          <w:highlight w:val="none"/>
          <w:lang w:val="zh-CN"/>
        </w:rPr>
      </w:pPr>
      <w:r>
        <w:rPr>
          <w:rFonts w:hint="eastAsia" w:ascii="宋体" w:hAnsi="宋体" w:eastAsia="宋体" w:cs="宋体"/>
          <w:bCs/>
          <w:color w:val="auto"/>
          <w:kern w:val="0"/>
          <w:sz w:val="24"/>
          <w:szCs w:val="24"/>
          <w:highlight w:val="none"/>
          <w:lang w:val="zh-CN"/>
        </w:rPr>
        <w:t>甲方（盖章）：                         乙方（盖章）：</w:t>
      </w:r>
    </w:p>
    <w:p w14:paraId="1A7E40A7">
      <w:pPr>
        <w:widowControl/>
        <w:autoSpaceDE w:val="0"/>
        <w:autoSpaceDN w:val="0"/>
        <w:adjustRightInd w:val="0"/>
        <w:spacing w:line="440" w:lineRule="exact"/>
        <w:rPr>
          <w:rFonts w:hint="eastAsia" w:ascii="宋体" w:hAnsi="宋体" w:eastAsia="宋体" w:cs="宋体"/>
          <w:bCs/>
          <w:color w:val="auto"/>
          <w:kern w:val="0"/>
          <w:sz w:val="24"/>
          <w:szCs w:val="24"/>
          <w:highlight w:val="none"/>
          <w:lang w:val="zh-CN"/>
        </w:rPr>
      </w:pPr>
      <w:r>
        <w:rPr>
          <w:rFonts w:hint="eastAsia" w:ascii="宋体" w:hAnsi="宋体" w:eastAsia="宋体" w:cs="宋体"/>
          <w:bCs/>
          <w:color w:val="auto"/>
          <w:kern w:val="0"/>
          <w:sz w:val="24"/>
          <w:szCs w:val="24"/>
          <w:highlight w:val="none"/>
          <w:lang w:val="zh-CN"/>
        </w:rPr>
        <w:t>法定代表人（签名）：                   法定代表人（签名）：</w:t>
      </w:r>
    </w:p>
    <w:p w14:paraId="58436EC5">
      <w:pPr>
        <w:widowControl/>
        <w:autoSpaceDE w:val="0"/>
        <w:autoSpaceDN w:val="0"/>
        <w:adjustRightInd w:val="0"/>
        <w:spacing w:line="440" w:lineRule="exact"/>
        <w:rPr>
          <w:rFonts w:hint="eastAsia" w:ascii="宋体" w:hAnsi="宋体" w:eastAsia="宋体" w:cs="宋体"/>
          <w:bCs/>
          <w:color w:val="auto"/>
          <w:kern w:val="0"/>
          <w:sz w:val="24"/>
          <w:szCs w:val="24"/>
          <w:highlight w:val="none"/>
          <w:lang w:val="zh-CN"/>
        </w:rPr>
      </w:pPr>
      <w:r>
        <w:rPr>
          <w:rFonts w:hint="eastAsia" w:ascii="宋体" w:hAnsi="宋体" w:eastAsia="宋体" w:cs="宋体"/>
          <w:bCs/>
          <w:color w:val="auto"/>
          <w:kern w:val="0"/>
          <w:sz w:val="24"/>
          <w:szCs w:val="24"/>
          <w:highlight w:val="none"/>
          <w:lang w:val="zh-CN"/>
        </w:rPr>
        <w:t>或委托代理人（签名）：                 或委托代理人（签名）：</w:t>
      </w:r>
    </w:p>
    <w:p w14:paraId="61839E3E">
      <w:pPr>
        <w:widowControl/>
        <w:autoSpaceDE w:val="0"/>
        <w:autoSpaceDN w:val="0"/>
        <w:adjustRightInd w:val="0"/>
        <w:spacing w:line="440" w:lineRule="exact"/>
        <w:rPr>
          <w:rFonts w:hint="eastAsia" w:ascii="宋体" w:hAnsi="宋体" w:eastAsia="宋体" w:cs="宋体"/>
          <w:bCs/>
          <w:color w:val="auto"/>
          <w:kern w:val="0"/>
          <w:sz w:val="24"/>
          <w:szCs w:val="24"/>
          <w:highlight w:val="none"/>
          <w:lang w:val="zh-CN"/>
        </w:rPr>
      </w:pPr>
      <w:r>
        <w:rPr>
          <w:rFonts w:hint="eastAsia" w:ascii="宋体" w:hAnsi="宋体" w:eastAsia="宋体" w:cs="宋体"/>
          <w:bCs/>
          <w:color w:val="auto"/>
          <w:kern w:val="0"/>
          <w:sz w:val="24"/>
          <w:szCs w:val="24"/>
          <w:highlight w:val="none"/>
          <w:lang w:val="zh-CN"/>
        </w:rPr>
        <w:t xml:space="preserve">联系人：                             </w:t>
      </w:r>
      <w:r>
        <w:rPr>
          <w:rFonts w:hint="eastAsia" w:ascii="宋体" w:hAnsi="宋体" w:eastAsia="宋体" w:cs="宋体"/>
          <w:bCs/>
          <w:color w:val="auto"/>
          <w:kern w:val="0"/>
          <w:sz w:val="24"/>
          <w:szCs w:val="24"/>
          <w:highlight w:val="none"/>
        </w:rPr>
        <w:t xml:space="preserve"> </w:t>
      </w:r>
      <w:r>
        <w:rPr>
          <w:rFonts w:hint="eastAsia" w:ascii="宋体" w:hAnsi="宋体" w:eastAsia="宋体" w:cs="宋体"/>
          <w:bCs/>
          <w:color w:val="auto"/>
          <w:kern w:val="0"/>
          <w:sz w:val="24"/>
          <w:szCs w:val="24"/>
          <w:highlight w:val="none"/>
          <w:lang w:val="zh-CN"/>
        </w:rPr>
        <w:t xml:space="preserve"> 联系人：</w:t>
      </w:r>
    </w:p>
    <w:p w14:paraId="3DB54479">
      <w:pPr>
        <w:widowControl/>
        <w:autoSpaceDE w:val="0"/>
        <w:autoSpaceDN w:val="0"/>
        <w:adjustRightInd w:val="0"/>
        <w:spacing w:line="440" w:lineRule="exact"/>
        <w:rPr>
          <w:rFonts w:hint="eastAsia" w:ascii="宋体" w:hAnsi="宋体" w:eastAsia="宋体" w:cs="宋体"/>
          <w:bCs/>
          <w:color w:val="auto"/>
          <w:kern w:val="0"/>
          <w:sz w:val="24"/>
          <w:szCs w:val="24"/>
          <w:highlight w:val="none"/>
          <w:lang w:val="zh-CN"/>
        </w:rPr>
      </w:pPr>
      <w:r>
        <w:rPr>
          <w:rFonts w:hint="eastAsia" w:ascii="宋体" w:hAnsi="宋体" w:eastAsia="宋体" w:cs="宋体"/>
          <w:bCs/>
          <w:color w:val="auto"/>
          <w:kern w:val="0"/>
          <w:sz w:val="24"/>
          <w:szCs w:val="24"/>
          <w:highlight w:val="none"/>
          <w:lang w:val="zh-CN"/>
        </w:rPr>
        <w:t xml:space="preserve">地址：                                </w:t>
      </w:r>
      <w:r>
        <w:rPr>
          <w:rFonts w:hint="eastAsia" w:ascii="宋体" w:hAnsi="宋体" w:eastAsia="宋体" w:cs="宋体"/>
          <w:bCs/>
          <w:color w:val="auto"/>
          <w:kern w:val="0"/>
          <w:sz w:val="24"/>
          <w:szCs w:val="24"/>
          <w:highlight w:val="none"/>
        </w:rPr>
        <w:t xml:space="preserve"> </w:t>
      </w:r>
      <w:r>
        <w:rPr>
          <w:rFonts w:hint="eastAsia" w:ascii="宋体" w:hAnsi="宋体" w:eastAsia="宋体" w:cs="宋体"/>
          <w:bCs/>
          <w:color w:val="auto"/>
          <w:kern w:val="0"/>
          <w:sz w:val="24"/>
          <w:szCs w:val="24"/>
          <w:highlight w:val="none"/>
          <w:lang w:val="zh-CN"/>
        </w:rPr>
        <w:t>地址：</w:t>
      </w:r>
    </w:p>
    <w:p w14:paraId="72316C2D">
      <w:pPr>
        <w:widowControl/>
        <w:autoSpaceDE w:val="0"/>
        <w:autoSpaceDN w:val="0"/>
        <w:adjustRightInd w:val="0"/>
        <w:spacing w:line="440" w:lineRule="exact"/>
        <w:rPr>
          <w:rFonts w:hint="eastAsia" w:ascii="宋体" w:hAnsi="宋体" w:eastAsia="宋体" w:cs="宋体"/>
          <w:bCs/>
          <w:color w:val="auto"/>
          <w:kern w:val="0"/>
          <w:sz w:val="24"/>
          <w:szCs w:val="24"/>
          <w:highlight w:val="none"/>
          <w:lang w:val="zh-CN"/>
        </w:rPr>
      </w:pPr>
      <w:r>
        <w:rPr>
          <w:rFonts w:hint="eastAsia" w:ascii="宋体" w:hAnsi="宋体" w:eastAsia="宋体" w:cs="宋体"/>
          <w:bCs/>
          <w:color w:val="auto"/>
          <w:kern w:val="0"/>
          <w:sz w:val="24"/>
          <w:szCs w:val="24"/>
          <w:highlight w:val="none"/>
          <w:lang w:val="zh-CN"/>
        </w:rPr>
        <w:t xml:space="preserve">电话：                                </w:t>
      </w:r>
      <w:r>
        <w:rPr>
          <w:rFonts w:hint="eastAsia" w:ascii="宋体" w:hAnsi="宋体" w:eastAsia="宋体" w:cs="宋体"/>
          <w:bCs/>
          <w:color w:val="auto"/>
          <w:kern w:val="0"/>
          <w:sz w:val="24"/>
          <w:szCs w:val="24"/>
          <w:highlight w:val="none"/>
        </w:rPr>
        <w:t xml:space="preserve"> </w:t>
      </w:r>
      <w:r>
        <w:rPr>
          <w:rFonts w:hint="eastAsia" w:ascii="宋体" w:hAnsi="宋体" w:eastAsia="宋体" w:cs="宋体"/>
          <w:bCs/>
          <w:color w:val="auto"/>
          <w:kern w:val="0"/>
          <w:sz w:val="24"/>
          <w:szCs w:val="24"/>
          <w:highlight w:val="none"/>
          <w:lang w:val="zh-CN"/>
        </w:rPr>
        <w:t>电话：</w:t>
      </w:r>
    </w:p>
    <w:p w14:paraId="0A87F642">
      <w:pPr>
        <w:widowControl/>
        <w:autoSpaceDE w:val="0"/>
        <w:autoSpaceDN w:val="0"/>
        <w:adjustRightInd w:val="0"/>
        <w:spacing w:line="440" w:lineRule="exact"/>
        <w:rPr>
          <w:rFonts w:hint="eastAsia" w:ascii="宋体" w:hAnsi="宋体" w:eastAsia="宋体" w:cs="宋体"/>
          <w:bCs/>
          <w:color w:val="auto"/>
          <w:kern w:val="0"/>
          <w:sz w:val="24"/>
          <w:szCs w:val="24"/>
          <w:highlight w:val="none"/>
          <w:lang w:val="zh-CN"/>
        </w:rPr>
      </w:pPr>
      <w:r>
        <w:rPr>
          <w:rFonts w:hint="eastAsia" w:ascii="宋体" w:hAnsi="宋体" w:eastAsia="宋体" w:cs="宋体"/>
          <w:bCs/>
          <w:color w:val="auto"/>
          <w:kern w:val="0"/>
          <w:sz w:val="24"/>
          <w:szCs w:val="24"/>
          <w:highlight w:val="none"/>
          <w:lang w:val="zh-CN"/>
        </w:rPr>
        <w:t xml:space="preserve">传真：                                </w:t>
      </w:r>
      <w:r>
        <w:rPr>
          <w:rFonts w:hint="eastAsia" w:ascii="宋体" w:hAnsi="宋体" w:eastAsia="宋体" w:cs="宋体"/>
          <w:bCs/>
          <w:color w:val="auto"/>
          <w:kern w:val="0"/>
          <w:sz w:val="24"/>
          <w:szCs w:val="24"/>
          <w:highlight w:val="none"/>
        </w:rPr>
        <w:t xml:space="preserve"> </w:t>
      </w:r>
      <w:r>
        <w:rPr>
          <w:rFonts w:hint="eastAsia" w:ascii="宋体" w:hAnsi="宋体" w:eastAsia="宋体" w:cs="宋体"/>
          <w:bCs/>
          <w:color w:val="auto"/>
          <w:kern w:val="0"/>
          <w:sz w:val="24"/>
          <w:szCs w:val="24"/>
          <w:highlight w:val="none"/>
          <w:lang w:val="zh-CN"/>
        </w:rPr>
        <w:t>传真：</w:t>
      </w:r>
    </w:p>
    <w:p w14:paraId="207906D7">
      <w:pPr>
        <w:widowControl/>
        <w:autoSpaceDE w:val="0"/>
        <w:autoSpaceDN w:val="0"/>
        <w:adjustRightInd w:val="0"/>
        <w:spacing w:line="440" w:lineRule="exact"/>
        <w:rPr>
          <w:rFonts w:hint="eastAsia" w:ascii="宋体" w:hAnsi="宋体" w:eastAsia="宋体" w:cs="宋体"/>
          <w:bCs/>
          <w:color w:val="auto"/>
          <w:kern w:val="0"/>
          <w:sz w:val="24"/>
          <w:szCs w:val="24"/>
          <w:highlight w:val="none"/>
          <w:lang w:val="zh-CN"/>
        </w:rPr>
      </w:pPr>
      <w:r>
        <w:rPr>
          <w:rFonts w:hint="eastAsia" w:ascii="宋体" w:hAnsi="宋体" w:eastAsia="宋体" w:cs="宋体"/>
          <w:bCs/>
          <w:color w:val="auto"/>
          <w:kern w:val="0"/>
          <w:sz w:val="24"/>
          <w:szCs w:val="24"/>
          <w:highlight w:val="none"/>
          <w:lang w:val="zh-CN"/>
        </w:rPr>
        <w:t xml:space="preserve">开户银行：                            </w:t>
      </w:r>
      <w:r>
        <w:rPr>
          <w:rFonts w:hint="eastAsia" w:ascii="宋体" w:hAnsi="宋体" w:eastAsia="宋体" w:cs="宋体"/>
          <w:bCs/>
          <w:color w:val="auto"/>
          <w:kern w:val="0"/>
          <w:sz w:val="24"/>
          <w:szCs w:val="24"/>
          <w:highlight w:val="none"/>
        </w:rPr>
        <w:t xml:space="preserve"> </w:t>
      </w:r>
      <w:r>
        <w:rPr>
          <w:rFonts w:hint="eastAsia" w:ascii="宋体" w:hAnsi="宋体" w:eastAsia="宋体" w:cs="宋体"/>
          <w:bCs/>
          <w:color w:val="auto"/>
          <w:kern w:val="0"/>
          <w:sz w:val="24"/>
          <w:szCs w:val="24"/>
          <w:highlight w:val="none"/>
          <w:lang w:val="zh-CN"/>
        </w:rPr>
        <w:t>开户银行：</w:t>
      </w:r>
    </w:p>
    <w:p w14:paraId="08DEA7EB">
      <w:pPr>
        <w:widowControl/>
        <w:autoSpaceDE w:val="0"/>
        <w:autoSpaceDN w:val="0"/>
        <w:adjustRightInd w:val="0"/>
        <w:spacing w:line="440" w:lineRule="exact"/>
        <w:rPr>
          <w:rFonts w:hint="eastAsia" w:ascii="宋体" w:hAnsi="宋体" w:eastAsia="宋体" w:cs="宋体"/>
          <w:bCs/>
          <w:color w:val="auto"/>
          <w:kern w:val="0"/>
          <w:sz w:val="24"/>
          <w:szCs w:val="24"/>
          <w:highlight w:val="none"/>
          <w:lang w:val="zh-CN"/>
        </w:rPr>
      </w:pPr>
      <w:r>
        <w:rPr>
          <w:rFonts w:hint="eastAsia" w:ascii="宋体" w:hAnsi="宋体" w:eastAsia="宋体" w:cs="宋体"/>
          <w:bCs/>
          <w:color w:val="auto"/>
          <w:kern w:val="0"/>
          <w:sz w:val="24"/>
          <w:szCs w:val="24"/>
          <w:highlight w:val="none"/>
          <w:lang w:val="zh-CN"/>
        </w:rPr>
        <w:t xml:space="preserve">银行账号：                            </w:t>
      </w:r>
      <w:r>
        <w:rPr>
          <w:rFonts w:hint="eastAsia" w:ascii="宋体" w:hAnsi="宋体" w:eastAsia="宋体" w:cs="宋体"/>
          <w:bCs/>
          <w:color w:val="auto"/>
          <w:kern w:val="0"/>
          <w:sz w:val="24"/>
          <w:szCs w:val="24"/>
          <w:highlight w:val="none"/>
        </w:rPr>
        <w:t xml:space="preserve"> </w:t>
      </w:r>
      <w:r>
        <w:rPr>
          <w:rFonts w:hint="eastAsia" w:ascii="宋体" w:hAnsi="宋体" w:eastAsia="宋体" w:cs="宋体"/>
          <w:bCs/>
          <w:color w:val="auto"/>
          <w:kern w:val="0"/>
          <w:sz w:val="24"/>
          <w:szCs w:val="24"/>
          <w:highlight w:val="none"/>
          <w:lang w:val="zh-CN"/>
        </w:rPr>
        <w:t>银行账号：</w:t>
      </w:r>
    </w:p>
    <w:p w14:paraId="169D175D">
      <w:pPr>
        <w:rPr>
          <w:rFonts w:hint="eastAsia" w:ascii="宋体" w:hAnsi="宋体" w:eastAsia="宋体" w:cs="宋体"/>
          <w:color w:val="auto"/>
          <w:highlight w:val="none"/>
        </w:rPr>
      </w:pPr>
      <w:r>
        <w:rPr>
          <w:rFonts w:hint="eastAsia" w:ascii="宋体" w:hAnsi="宋体" w:eastAsia="宋体" w:cs="宋体"/>
          <w:bCs/>
          <w:color w:val="auto"/>
          <w:kern w:val="0"/>
          <w:sz w:val="24"/>
          <w:szCs w:val="24"/>
          <w:highlight w:val="none"/>
          <w:lang w:val="zh-CN"/>
        </w:rPr>
        <w:t xml:space="preserve">社会统一信用代码:                      </w:t>
      </w:r>
      <w:r>
        <w:rPr>
          <w:rFonts w:hint="eastAsia" w:ascii="宋体" w:hAnsi="宋体" w:eastAsia="宋体" w:cs="宋体"/>
          <w:bCs/>
          <w:color w:val="auto"/>
          <w:kern w:val="0"/>
          <w:sz w:val="24"/>
          <w:szCs w:val="24"/>
          <w:highlight w:val="none"/>
        </w:rPr>
        <w:t xml:space="preserve"> </w:t>
      </w:r>
      <w:r>
        <w:rPr>
          <w:rFonts w:hint="eastAsia" w:ascii="宋体" w:hAnsi="宋体" w:eastAsia="宋体" w:cs="宋体"/>
          <w:bCs/>
          <w:color w:val="auto"/>
          <w:kern w:val="0"/>
          <w:sz w:val="24"/>
          <w:szCs w:val="24"/>
          <w:highlight w:val="none"/>
          <w:lang w:val="zh-CN"/>
        </w:rPr>
        <w:t>社会统一信用代码：</w:t>
      </w:r>
    </w:p>
    <w:p w14:paraId="2399AC08">
      <w:pPr>
        <w:rPr>
          <w:rFonts w:hint="eastAsia" w:ascii="宋体" w:hAnsi="宋体" w:eastAsia="宋体" w:cs="宋体"/>
          <w:color w:val="auto"/>
          <w:highlight w:val="none"/>
        </w:rPr>
      </w:pPr>
      <w:r>
        <w:rPr>
          <w:rFonts w:hint="eastAsia" w:ascii="宋体" w:hAnsi="宋体" w:eastAsia="宋体" w:cs="宋体"/>
          <w:color w:val="auto"/>
          <w:highlight w:val="none"/>
        </w:rPr>
        <w:br w:type="page"/>
      </w:r>
    </w:p>
    <w:p w14:paraId="322ABBDD">
      <w:pPr>
        <w:pStyle w:val="2"/>
        <w:rPr>
          <w:rFonts w:hint="eastAsia" w:ascii="宋体" w:hAnsi="宋体" w:eastAsia="宋体" w:cs="宋体"/>
          <w:color w:val="auto"/>
          <w:highlight w:val="none"/>
        </w:rPr>
      </w:pPr>
      <w:bookmarkStart w:id="272" w:name="_Toc11007"/>
      <w:r>
        <w:rPr>
          <w:rFonts w:hint="eastAsia" w:ascii="宋体" w:hAnsi="宋体" w:eastAsia="宋体" w:cs="宋体"/>
          <w:color w:val="auto"/>
          <w:highlight w:val="none"/>
        </w:rPr>
        <w:t>第四章 采购需求</w:t>
      </w:r>
      <w:bookmarkEnd w:id="102"/>
      <w:bookmarkEnd w:id="103"/>
      <w:bookmarkEnd w:id="104"/>
      <w:bookmarkEnd w:id="272"/>
    </w:p>
    <w:p w14:paraId="18F0FB28">
      <w:pPr>
        <w:keepNext w:val="0"/>
        <w:keepLines w:val="0"/>
        <w:pageBreakBefore w:val="0"/>
        <w:widowControl w:val="0"/>
        <w:kinsoku/>
        <w:wordWrap/>
        <w:overflowPunct/>
        <w:topLinePunct w:val="0"/>
        <w:bidi w:val="0"/>
        <w:snapToGrid/>
        <w:spacing w:line="460" w:lineRule="exact"/>
        <w:rPr>
          <w:rFonts w:hint="eastAsia" w:ascii="宋体" w:hAnsi="宋体" w:eastAsia="宋体" w:cs="宋体"/>
          <w:b/>
          <w:bCs/>
          <w:color w:val="auto"/>
          <w:sz w:val="28"/>
          <w:highlight w:val="none"/>
          <w:lang w:eastAsia="zh-CN"/>
        </w:rPr>
      </w:pPr>
      <w:bookmarkStart w:id="273" w:name="_Toc315868060"/>
      <w:bookmarkStart w:id="274" w:name="_Toc315875323"/>
      <w:bookmarkStart w:id="275" w:name="_Toc158691776"/>
      <w:r>
        <w:rPr>
          <w:rFonts w:hint="eastAsia" w:ascii="宋体" w:hAnsi="宋体" w:eastAsia="宋体" w:cs="宋体"/>
          <w:b/>
          <w:bCs/>
          <w:color w:val="auto"/>
          <w:sz w:val="28"/>
          <w:highlight w:val="none"/>
        </w:rPr>
        <w:t>项目名称：</w:t>
      </w:r>
      <w:r>
        <w:rPr>
          <w:rFonts w:hint="eastAsia" w:ascii="宋体" w:hAnsi="宋体" w:eastAsia="宋体" w:cs="宋体"/>
          <w:b/>
          <w:color w:val="auto"/>
          <w:sz w:val="28"/>
          <w:szCs w:val="28"/>
          <w:highlight w:val="none"/>
          <w:lang w:eastAsia="zh-CN"/>
        </w:rPr>
        <w:t>常熟市梅李人民医院食堂供餐配送服务</w:t>
      </w:r>
    </w:p>
    <w:p w14:paraId="4FA2E314">
      <w:pPr>
        <w:keepNext w:val="0"/>
        <w:keepLines w:val="0"/>
        <w:pageBreakBefore w:val="0"/>
        <w:widowControl w:val="0"/>
        <w:kinsoku/>
        <w:wordWrap/>
        <w:overflowPunct/>
        <w:topLinePunct w:val="0"/>
        <w:bidi w:val="0"/>
        <w:snapToGrid/>
        <w:spacing w:line="460" w:lineRule="exact"/>
        <w:rPr>
          <w:rFonts w:hint="eastAsia" w:ascii="宋体" w:hAnsi="宋体" w:eastAsia="宋体" w:cs="宋体"/>
          <w:b/>
          <w:bCs/>
          <w:color w:val="auto"/>
          <w:sz w:val="28"/>
          <w:highlight w:val="none"/>
          <w:lang w:eastAsia="zh-CN"/>
        </w:rPr>
      </w:pPr>
      <w:r>
        <w:rPr>
          <w:rFonts w:hint="eastAsia" w:ascii="宋体" w:hAnsi="宋体" w:eastAsia="宋体" w:cs="宋体"/>
          <w:b/>
          <w:bCs/>
          <w:color w:val="auto"/>
          <w:sz w:val="28"/>
          <w:highlight w:val="none"/>
        </w:rPr>
        <w:t>项目编号：</w:t>
      </w:r>
      <w:r>
        <w:rPr>
          <w:rFonts w:hint="eastAsia" w:ascii="宋体" w:hAnsi="宋体" w:cs="宋体"/>
          <w:b/>
          <w:bCs/>
          <w:color w:val="auto"/>
          <w:sz w:val="28"/>
          <w:highlight w:val="none"/>
          <w:lang w:eastAsia="zh-CN"/>
        </w:rPr>
        <w:t>JSZC-320581-SZDS-G2026-0003</w:t>
      </w:r>
    </w:p>
    <w:p w14:paraId="75F10ADC">
      <w:pPr>
        <w:keepNext w:val="0"/>
        <w:keepLines w:val="0"/>
        <w:pageBreakBefore w:val="0"/>
        <w:widowControl w:val="0"/>
        <w:kinsoku/>
        <w:wordWrap/>
        <w:overflowPunct/>
        <w:topLinePunct w:val="0"/>
        <w:bidi w:val="0"/>
        <w:snapToGrid/>
        <w:spacing w:line="460" w:lineRule="exact"/>
        <w:rPr>
          <w:rFonts w:hint="eastAsia" w:ascii="宋体" w:hAnsi="宋体" w:eastAsia="宋体" w:cs="宋体"/>
          <w:b/>
          <w:bCs/>
          <w:color w:val="auto"/>
          <w:sz w:val="28"/>
          <w:highlight w:val="none"/>
          <w:lang w:eastAsia="zh-CN"/>
        </w:rPr>
      </w:pPr>
      <w:r>
        <w:rPr>
          <w:rFonts w:hint="eastAsia" w:ascii="宋体" w:hAnsi="宋体" w:eastAsia="宋体" w:cs="宋体"/>
          <w:b/>
          <w:bCs/>
          <w:color w:val="auto"/>
          <w:sz w:val="28"/>
          <w:highlight w:val="none"/>
        </w:rPr>
        <w:t>采购人：</w:t>
      </w:r>
      <w:r>
        <w:rPr>
          <w:rFonts w:hint="eastAsia" w:ascii="宋体" w:hAnsi="宋体" w:eastAsia="宋体" w:cs="宋体"/>
          <w:b/>
          <w:bCs/>
          <w:color w:val="auto"/>
          <w:sz w:val="28"/>
          <w:highlight w:val="none"/>
          <w:lang w:eastAsia="zh-CN"/>
        </w:rPr>
        <w:t>常熟市梅李人民医院</w:t>
      </w:r>
    </w:p>
    <w:p w14:paraId="58079A4C">
      <w:pPr>
        <w:keepNext w:val="0"/>
        <w:keepLines w:val="0"/>
        <w:pageBreakBefore w:val="0"/>
        <w:widowControl w:val="0"/>
        <w:kinsoku/>
        <w:wordWrap/>
        <w:overflowPunct/>
        <w:topLinePunct w:val="0"/>
        <w:bidi w:val="0"/>
        <w:snapToGrid/>
        <w:spacing w:line="460" w:lineRule="exact"/>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一、项目说明：</w:t>
      </w:r>
    </w:p>
    <w:p w14:paraId="025AF748">
      <w:pPr>
        <w:keepNext w:val="0"/>
        <w:keepLines w:val="0"/>
        <w:pageBreakBefore w:val="0"/>
        <w:widowControl w:val="0"/>
        <w:kinsoku/>
        <w:wordWrap/>
        <w:overflowPunct/>
        <w:topLinePunct w:val="0"/>
        <w:autoSpaceDE w:val="0"/>
        <w:autoSpaceDN w:val="0"/>
        <w:bidi w:val="0"/>
        <w:adjustRightInd w:val="0"/>
        <w:snapToGrid/>
        <w:spacing w:line="460" w:lineRule="exact"/>
        <w:ind w:firstLine="480" w:firstLineChars="200"/>
        <w:rPr>
          <w:rFonts w:hint="eastAsia" w:ascii="宋体" w:hAnsi="宋体" w:eastAsia="宋体" w:cs="宋体"/>
          <w:color w:val="auto"/>
          <w:sz w:val="24"/>
          <w:szCs w:val="24"/>
          <w:highlight w:val="none"/>
          <w:lang w:val="zh-CN" w:eastAsia="zh-CN"/>
        </w:rPr>
      </w:pPr>
      <w:bookmarkStart w:id="276" w:name="_Toc89524316"/>
      <w:r>
        <w:rPr>
          <w:rFonts w:hint="eastAsia" w:ascii="宋体" w:hAnsi="宋体" w:eastAsia="宋体" w:cs="宋体"/>
          <w:color w:val="auto"/>
          <w:sz w:val="24"/>
          <w:szCs w:val="24"/>
          <w:highlight w:val="none"/>
          <w:lang w:val="zh-CN"/>
        </w:rPr>
        <w:t>1、项目概况：</w:t>
      </w:r>
      <w:r>
        <w:rPr>
          <w:rFonts w:hint="eastAsia" w:ascii="宋体" w:hAnsi="宋体" w:eastAsia="宋体" w:cs="宋体"/>
          <w:color w:val="auto"/>
          <w:sz w:val="24"/>
          <w:szCs w:val="24"/>
          <w:highlight w:val="none"/>
        </w:rPr>
        <w:t>本项目采购内容为</w:t>
      </w:r>
      <w:r>
        <w:rPr>
          <w:rFonts w:hint="eastAsia" w:ascii="宋体" w:hAnsi="宋体" w:eastAsia="宋体" w:cs="宋体"/>
          <w:color w:val="auto"/>
          <w:sz w:val="24"/>
          <w:szCs w:val="24"/>
          <w:highlight w:val="none"/>
          <w:lang w:eastAsia="zh-CN"/>
        </w:rPr>
        <w:t>常熟市梅李人民医院</w:t>
      </w:r>
      <w:r>
        <w:rPr>
          <w:rFonts w:hint="eastAsia" w:ascii="宋体" w:hAnsi="宋体" w:eastAsia="宋体" w:cs="宋体"/>
          <w:color w:val="auto"/>
          <w:sz w:val="24"/>
          <w:szCs w:val="24"/>
          <w:highlight w:val="none"/>
        </w:rPr>
        <w:t>所需的</w:t>
      </w:r>
      <w:r>
        <w:rPr>
          <w:rFonts w:hint="eastAsia" w:ascii="宋体" w:hAnsi="宋体" w:eastAsia="宋体" w:cs="宋体"/>
          <w:color w:val="auto"/>
          <w:sz w:val="24"/>
          <w:szCs w:val="24"/>
          <w:highlight w:val="none"/>
          <w:lang w:eastAsia="zh-CN"/>
        </w:rPr>
        <w:t>常熟市梅李人民医院食堂供餐配送服务</w:t>
      </w:r>
      <w:r>
        <w:rPr>
          <w:rFonts w:hint="eastAsia" w:ascii="宋体" w:hAnsi="宋体" w:eastAsia="宋体" w:cs="宋体"/>
          <w:color w:val="auto"/>
          <w:sz w:val="24"/>
          <w:szCs w:val="24"/>
          <w:highlight w:val="none"/>
          <w:lang w:val="zh-CN"/>
        </w:rPr>
        <w:t>。</w:t>
      </w:r>
      <w:r>
        <w:rPr>
          <w:rFonts w:hint="eastAsia" w:ascii="宋体" w:hAnsi="宋体" w:eastAsia="宋体" w:cs="宋体"/>
          <w:sz w:val="24"/>
          <w:szCs w:val="24"/>
          <w:highlight w:val="none"/>
        </w:rPr>
        <w:t>每日就餐职工人数约200人</w:t>
      </w: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rPr>
        <w:t>服务期内每日均需提供早餐、中餐、晚餐</w:t>
      </w:r>
      <w:r>
        <w:rPr>
          <w:rFonts w:hint="eastAsia" w:ascii="宋体" w:hAnsi="宋体" w:eastAsia="宋体" w:cs="宋体"/>
          <w:sz w:val="24"/>
          <w:szCs w:val="24"/>
          <w:highlight w:val="none"/>
          <w:lang w:eastAsia="zh-CN"/>
        </w:rPr>
        <w:t>。</w:t>
      </w:r>
    </w:p>
    <w:p w14:paraId="63FFB616">
      <w:pPr>
        <w:keepNext w:val="0"/>
        <w:keepLines w:val="0"/>
        <w:pageBreakBefore w:val="0"/>
        <w:widowControl w:val="0"/>
        <w:kinsoku/>
        <w:wordWrap/>
        <w:overflowPunct/>
        <w:topLinePunct w:val="0"/>
        <w:autoSpaceDE w:val="0"/>
        <w:autoSpaceDN w:val="0"/>
        <w:bidi w:val="0"/>
        <w:adjustRightInd w:val="0"/>
        <w:snapToGrid/>
        <w:spacing w:line="46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r>
        <w:rPr>
          <w:rFonts w:hint="eastAsia" w:ascii="宋体" w:hAnsi="宋体" w:eastAsia="宋体" w:cs="宋体"/>
          <w:color w:val="auto"/>
          <w:sz w:val="24"/>
          <w:szCs w:val="24"/>
          <w:highlight w:val="none"/>
          <w:lang w:val="zh-CN"/>
        </w:rPr>
        <w:t>、</w:t>
      </w:r>
      <w:r>
        <w:rPr>
          <w:rFonts w:hint="eastAsia" w:ascii="宋体" w:hAnsi="宋体" w:eastAsia="宋体" w:cs="宋体"/>
          <w:color w:val="auto"/>
          <w:sz w:val="24"/>
          <w:szCs w:val="24"/>
          <w:highlight w:val="none"/>
        </w:rPr>
        <w:t>投标人应对项目现场进行踏勘，但费用由投标人自行承担。现场踏勘联系人：</w:t>
      </w:r>
      <w:r>
        <w:rPr>
          <w:rFonts w:hint="eastAsia" w:ascii="宋体" w:hAnsi="宋体" w:eastAsia="宋体" w:cs="宋体"/>
          <w:color w:val="auto"/>
          <w:sz w:val="24"/>
          <w:szCs w:val="24"/>
          <w:highlight w:val="none"/>
          <w:lang w:val="en-US" w:eastAsia="zh-CN"/>
        </w:rPr>
        <w:t>赵驾</w:t>
      </w:r>
      <w:r>
        <w:rPr>
          <w:rFonts w:hint="eastAsia" w:ascii="宋体" w:hAnsi="宋体" w:eastAsia="宋体" w:cs="宋体"/>
          <w:color w:val="auto"/>
          <w:sz w:val="24"/>
          <w:szCs w:val="24"/>
          <w:highlight w:val="none"/>
        </w:rPr>
        <w:t>，联系电话：0512-</w:t>
      </w:r>
      <w:r>
        <w:rPr>
          <w:rFonts w:hint="eastAsia" w:ascii="宋体" w:hAnsi="宋体" w:eastAsia="宋体" w:cs="宋体"/>
          <w:color w:val="auto"/>
          <w:sz w:val="24"/>
          <w:szCs w:val="24"/>
          <w:highlight w:val="none"/>
          <w:lang w:val="en-US" w:eastAsia="zh-CN"/>
        </w:rPr>
        <w:t>52082340</w:t>
      </w:r>
      <w:r>
        <w:rPr>
          <w:rFonts w:hint="eastAsia" w:ascii="宋体" w:hAnsi="宋体" w:eastAsia="宋体" w:cs="宋体"/>
          <w:color w:val="auto"/>
          <w:sz w:val="24"/>
          <w:szCs w:val="24"/>
          <w:highlight w:val="none"/>
        </w:rPr>
        <w:t>。投标人在投标时应充分考虑现场实际情况，采购人不负担因投标人对项目现场情况考虑不周而产生的其他任何费用。</w:t>
      </w:r>
    </w:p>
    <w:p w14:paraId="72E2DA2C">
      <w:pPr>
        <w:keepNext w:val="0"/>
        <w:keepLines w:val="0"/>
        <w:pageBreakBefore w:val="0"/>
        <w:widowControl w:val="0"/>
        <w:kinsoku/>
        <w:wordWrap/>
        <w:overflowPunct/>
        <w:topLinePunct w:val="0"/>
        <w:autoSpaceDE w:val="0"/>
        <w:autoSpaceDN w:val="0"/>
        <w:bidi w:val="0"/>
        <w:adjustRightInd w:val="0"/>
        <w:snapToGrid/>
        <w:spacing w:line="46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w:t>
      </w:r>
      <w:r>
        <w:rPr>
          <w:rFonts w:hint="eastAsia" w:ascii="宋体" w:hAnsi="宋体" w:eastAsia="宋体" w:cs="宋体"/>
          <w:color w:val="auto"/>
          <w:sz w:val="24"/>
          <w:szCs w:val="24"/>
          <w:highlight w:val="none"/>
          <w:lang w:val="zh-CN"/>
        </w:rPr>
        <w:t>、服务地点：常熟市梅李人民医院。</w:t>
      </w:r>
    </w:p>
    <w:p w14:paraId="4F124E66">
      <w:pPr>
        <w:keepNext w:val="0"/>
        <w:keepLines w:val="0"/>
        <w:pageBreakBefore w:val="0"/>
        <w:widowControl w:val="0"/>
        <w:kinsoku/>
        <w:wordWrap/>
        <w:overflowPunct/>
        <w:topLinePunct w:val="0"/>
        <w:autoSpaceDE w:val="0"/>
        <w:autoSpaceDN w:val="0"/>
        <w:bidi w:val="0"/>
        <w:adjustRightInd w:val="0"/>
        <w:snapToGrid/>
        <w:spacing w:line="46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4、服务期限：自合同签订之日起2年。</w:t>
      </w:r>
    </w:p>
    <w:p w14:paraId="4E7C97A9">
      <w:pPr>
        <w:keepNext w:val="0"/>
        <w:keepLines w:val="0"/>
        <w:pageBreakBefore w:val="0"/>
        <w:widowControl w:val="0"/>
        <w:kinsoku/>
        <w:wordWrap/>
        <w:overflowPunct/>
        <w:topLinePunct w:val="0"/>
        <w:autoSpaceDE w:val="0"/>
        <w:autoSpaceDN w:val="0"/>
        <w:bidi w:val="0"/>
        <w:adjustRightInd w:val="0"/>
        <w:snapToGrid/>
        <w:spacing w:line="460" w:lineRule="exact"/>
        <w:ind w:firstLine="480" w:firstLineChars="20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5、投标人负责事项说明：</w:t>
      </w:r>
    </w:p>
    <w:p w14:paraId="11166468">
      <w:pPr>
        <w:keepNext w:val="0"/>
        <w:keepLines w:val="0"/>
        <w:pageBreakBefore w:val="0"/>
        <w:widowControl w:val="0"/>
        <w:kinsoku/>
        <w:wordWrap/>
        <w:overflowPunct/>
        <w:topLinePunct w:val="0"/>
        <w:bidi w:val="0"/>
        <w:snapToGrid/>
        <w:spacing w:line="460" w:lineRule="exact"/>
        <w:ind w:firstLine="720" w:firstLineChars="300"/>
        <w:rPr>
          <w:rFonts w:hint="eastAsia" w:ascii="宋体" w:hAnsi="宋体" w:eastAsia="宋体" w:cs="宋体"/>
          <w:sz w:val="24"/>
          <w:szCs w:val="24"/>
          <w:highlight w:val="none"/>
        </w:rPr>
      </w:pPr>
      <w:r>
        <w:rPr>
          <w:rFonts w:hint="eastAsia" w:ascii="宋体" w:hAnsi="宋体" w:eastAsia="宋体" w:cs="宋体"/>
          <w:sz w:val="24"/>
          <w:szCs w:val="24"/>
          <w:highlight w:val="none"/>
        </w:rPr>
        <w:t>5.1协助采购人制定每周菜谱。</w:t>
      </w:r>
    </w:p>
    <w:p w14:paraId="6EE9302D">
      <w:pPr>
        <w:keepNext w:val="0"/>
        <w:keepLines w:val="0"/>
        <w:pageBreakBefore w:val="0"/>
        <w:widowControl w:val="0"/>
        <w:kinsoku/>
        <w:wordWrap/>
        <w:overflowPunct/>
        <w:topLinePunct w:val="0"/>
        <w:bidi w:val="0"/>
        <w:snapToGrid/>
        <w:spacing w:line="460" w:lineRule="exact"/>
        <w:ind w:firstLine="720" w:firstLineChars="300"/>
        <w:rPr>
          <w:rFonts w:hint="eastAsia" w:ascii="宋体" w:hAnsi="宋体" w:eastAsia="宋体" w:cs="宋体"/>
          <w:sz w:val="24"/>
          <w:szCs w:val="24"/>
          <w:highlight w:val="none"/>
        </w:rPr>
      </w:pPr>
      <w:r>
        <w:rPr>
          <w:rFonts w:hint="eastAsia" w:ascii="宋体" w:hAnsi="宋体" w:eastAsia="宋体" w:cs="宋体"/>
          <w:sz w:val="24"/>
          <w:szCs w:val="24"/>
          <w:highlight w:val="none"/>
        </w:rPr>
        <w:t>5.2按制定的菜谱及每日点单数量，组织提供早餐、中餐、晚餐的制作等服务。</w:t>
      </w:r>
    </w:p>
    <w:p w14:paraId="7C68478A">
      <w:pPr>
        <w:keepNext w:val="0"/>
        <w:keepLines w:val="0"/>
        <w:pageBreakBefore w:val="0"/>
        <w:widowControl w:val="0"/>
        <w:kinsoku/>
        <w:wordWrap/>
        <w:overflowPunct/>
        <w:topLinePunct w:val="0"/>
        <w:bidi w:val="0"/>
        <w:snapToGrid/>
        <w:spacing w:line="460" w:lineRule="exact"/>
        <w:ind w:firstLine="720" w:firstLineChars="300"/>
        <w:rPr>
          <w:rFonts w:hint="eastAsia" w:ascii="宋体" w:hAnsi="宋体" w:eastAsia="宋体" w:cs="宋体"/>
          <w:sz w:val="24"/>
          <w:szCs w:val="24"/>
          <w:highlight w:val="none"/>
        </w:rPr>
      </w:pPr>
      <w:r>
        <w:rPr>
          <w:rFonts w:hint="eastAsia" w:ascii="宋体" w:hAnsi="宋体" w:eastAsia="宋体" w:cs="宋体"/>
          <w:sz w:val="24"/>
          <w:szCs w:val="24"/>
          <w:highlight w:val="none"/>
        </w:rPr>
        <w:t>5.3负责配餐过程中的食品安全管理、菜肴质量管理等。</w:t>
      </w:r>
    </w:p>
    <w:p w14:paraId="6C4DE73D">
      <w:pPr>
        <w:keepNext w:val="0"/>
        <w:keepLines w:val="0"/>
        <w:pageBreakBefore w:val="0"/>
        <w:widowControl w:val="0"/>
        <w:kinsoku/>
        <w:wordWrap/>
        <w:overflowPunct/>
        <w:topLinePunct w:val="0"/>
        <w:bidi w:val="0"/>
        <w:snapToGrid/>
        <w:spacing w:line="460" w:lineRule="exact"/>
        <w:ind w:firstLine="720" w:firstLineChars="300"/>
        <w:rPr>
          <w:rFonts w:hint="eastAsia" w:ascii="宋体" w:hAnsi="宋体" w:eastAsia="宋体" w:cs="宋体"/>
          <w:sz w:val="24"/>
          <w:szCs w:val="24"/>
          <w:highlight w:val="none"/>
        </w:rPr>
      </w:pPr>
      <w:r>
        <w:rPr>
          <w:rFonts w:hint="eastAsia" w:ascii="宋体" w:hAnsi="宋体" w:eastAsia="宋体" w:cs="宋体"/>
          <w:sz w:val="24"/>
          <w:szCs w:val="24"/>
          <w:highlight w:val="none"/>
        </w:rPr>
        <w:t>5.4负责分餐所使用餐具的回收清洗消毒等工作。</w:t>
      </w:r>
    </w:p>
    <w:p w14:paraId="40CD3E2C">
      <w:pPr>
        <w:keepNext w:val="0"/>
        <w:keepLines w:val="0"/>
        <w:pageBreakBefore w:val="0"/>
        <w:widowControl w:val="0"/>
        <w:kinsoku/>
        <w:wordWrap/>
        <w:overflowPunct/>
        <w:topLinePunct w:val="0"/>
        <w:bidi w:val="0"/>
        <w:snapToGrid/>
        <w:spacing w:line="460" w:lineRule="exact"/>
        <w:ind w:firstLine="720" w:firstLineChars="300"/>
        <w:rPr>
          <w:rFonts w:hint="eastAsia" w:ascii="宋体" w:hAnsi="宋体" w:eastAsia="宋体" w:cs="宋体"/>
          <w:sz w:val="24"/>
          <w:szCs w:val="24"/>
          <w:highlight w:val="none"/>
        </w:rPr>
      </w:pPr>
      <w:r>
        <w:rPr>
          <w:rFonts w:hint="eastAsia" w:ascii="宋体" w:hAnsi="宋体" w:eastAsia="宋体" w:cs="宋体"/>
          <w:sz w:val="24"/>
          <w:szCs w:val="24"/>
          <w:highlight w:val="none"/>
        </w:rPr>
        <w:t>5.5定期或不定期接受采购人对餐食制作全过程的检查。</w:t>
      </w:r>
    </w:p>
    <w:p w14:paraId="760F6CC0">
      <w:pPr>
        <w:keepNext w:val="0"/>
        <w:keepLines w:val="0"/>
        <w:pageBreakBefore w:val="0"/>
        <w:widowControl w:val="0"/>
        <w:kinsoku/>
        <w:wordWrap/>
        <w:overflowPunct/>
        <w:topLinePunct w:val="0"/>
        <w:bidi w:val="0"/>
        <w:snapToGrid/>
        <w:spacing w:line="460" w:lineRule="exact"/>
        <w:ind w:firstLine="720" w:firstLineChars="300"/>
        <w:rPr>
          <w:rFonts w:hint="eastAsia" w:ascii="宋体" w:hAnsi="宋体" w:eastAsia="宋体" w:cs="宋体"/>
          <w:sz w:val="24"/>
          <w:szCs w:val="24"/>
          <w:highlight w:val="none"/>
        </w:rPr>
      </w:pPr>
      <w:r>
        <w:rPr>
          <w:rFonts w:hint="eastAsia" w:ascii="宋体" w:hAnsi="宋体" w:eastAsia="宋体" w:cs="宋体"/>
          <w:sz w:val="24"/>
          <w:szCs w:val="24"/>
          <w:highlight w:val="none"/>
        </w:rPr>
        <w:t>5.6协助做好与采购人供餐相关的其他事项。</w:t>
      </w:r>
    </w:p>
    <w:p w14:paraId="5D03EB64">
      <w:pPr>
        <w:keepNext w:val="0"/>
        <w:keepLines w:val="0"/>
        <w:pageBreakBefore w:val="0"/>
        <w:widowControl w:val="0"/>
        <w:numPr>
          <w:ilvl w:val="0"/>
          <w:numId w:val="0"/>
        </w:numPr>
        <w:kinsoku/>
        <w:wordWrap/>
        <w:overflowPunct/>
        <w:topLinePunct w:val="0"/>
        <w:autoSpaceDE w:val="0"/>
        <w:autoSpaceDN w:val="0"/>
        <w:bidi w:val="0"/>
        <w:adjustRightInd w:val="0"/>
        <w:snapToGrid/>
        <w:spacing w:line="460" w:lineRule="exact"/>
        <w:ind w:firstLine="480" w:firstLineChars="200"/>
        <w:rPr>
          <w:rFonts w:hint="eastAsia" w:ascii="宋体" w:hAnsi="宋体" w:eastAsia="宋体" w:cs="宋体"/>
          <w:sz w:val="24"/>
          <w:szCs w:val="24"/>
          <w:highlight w:val="none"/>
          <w:lang w:val="en-US" w:eastAsia="zh-CN"/>
        </w:rPr>
      </w:pPr>
      <w:r>
        <w:rPr>
          <w:rFonts w:hint="eastAsia" w:ascii="宋体" w:hAnsi="宋体" w:eastAsia="宋体" w:cs="宋体"/>
          <w:kern w:val="2"/>
          <w:sz w:val="24"/>
          <w:szCs w:val="24"/>
          <w:highlight w:val="none"/>
          <w:lang w:val="en-US" w:eastAsia="zh-CN" w:bidi="ar-SA"/>
        </w:rPr>
        <w:t>6、</w:t>
      </w:r>
      <w:r>
        <w:rPr>
          <w:rFonts w:hint="eastAsia" w:ascii="宋体" w:hAnsi="宋体" w:eastAsia="宋体" w:cs="宋体"/>
          <w:sz w:val="24"/>
          <w:szCs w:val="24"/>
          <w:highlight w:val="none"/>
          <w:lang w:val="en-US" w:eastAsia="zh-CN"/>
        </w:rPr>
        <w:t>采购人负责事项说明：</w:t>
      </w:r>
    </w:p>
    <w:p w14:paraId="60B7F6DA">
      <w:pPr>
        <w:keepNext w:val="0"/>
        <w:keepLines w:val="0"/>
        <w:pageBreakBefore w:val="0"/>
        <w:widowControl w:val="0"/>
        <w:kinsoku/>
        <w:wordWrap/>
        <w:overflowPunct/>
        <w:topLinePunct w:val="0"/>
        <w:bidi w:val="0"/>
        <w:snapToGrid/>
        <w:spacing w:line="460" w:lineRule="exact"/>
        <w:ind w:firstLine="720" w:firstLineChars="300"/>
        <w:rPr>
          <w:rFonts w:hint="eastAsia" w:ascii="宋体" w:hAnsi="宋体" w:eastAsia="宋体" w:cs="宋体"/>
          <w:sz w:val="24"/>
          <w:szCs w:val="24"/>
          <w:highlight w:val="none"/>
        </w:rPr>
      </w:pPr>
      <w:r>
        <w:rPr>
          <w:rFonts w:hint="eastAsia" w:ascii="宋体" w:hAnsi="宋体" w:eastAsia="宋体" w:cs="宋体"/>
          <w:sz w:val="24"/>
          <w:szCs w:val="24"/>
          <w:highlight w:val="none"/>
        </w:rPr>
        <w:t>6.1负责提供独立的分餐间，并配备必要的分餐操作台、空调、保温台、消毒等设备设施，但以上设备日常维护维修由</w:t>
      </w:r>
      <w:r>
        <w:rPr>
          <w:rFonts w:hint="eastAsia" w:ascii="宋体" w:hAnsi="宋体" w:eastAsia="宋体" w:cs="宋体"/>
          <w:sz w:val="24"/>
          <w:szCs w:val="24"/>
          <w:highlight w:val="none"/>
          <w:lang w:val="en-US" w:eastAsia="zh-CN"/>
        </w:rPr>
        <w:t>中标人</w:t>
      </w:r>
      <w:r>
        <w:rPr>
          <w:rFonts w:hint="eastAsia" w:ascii="宋体" w:hAnsi="宋体" w:eastAsia="宋体" w:cs="宋体"/>
          <w:sz w:val="24"/>
          <w:szCs w:val="24"/>
          <w:highlight w:val="none"/>
        </w:rPr>
        <w:t>负责，并承担由此产生的维护维修费用。</w:t>
      </w:r>
    </w:p>
    <w:p w14:paraId="6AEF796D">
      <w:pPr>
        <w:keepNext w:val="0"/>
        <w:keepLines w:val="0"/>
        <w:pageBreakBefore w:val="0"/>
        <w:widowControl w:val="0"/>
        <w:kinsoku/>
        <w:wordWrap/>
        <w:overflowPunct/>
        <w:topLinePunct w:val="0"/>
        <w:bidi w:val="0"/>
        <w:snapToGrid/>
        <w:spacing w:line="460" w:lineRule="exact"/>
        <w:ind w:firstLine="720" w:firstLineChars="300"/>
        <w:rPr>
          <w:rFonts w:hint="eastAsia" w:ascii="宋体" w:hAnsi="宋体" w:eastAsia="宋体" w:cs="宋体"/>
          <w:sz w:val="24"/>
          <w:szCs w:val="24"/>
          <w:highlight w:val="none"/>
        </w:rPr>
      </w:pPr>
      <w:r>
        <w:rPr>
          <w:rFonts w:hint="eastAsia" w:ascii="宋体" w:hAnsi="宋体" w:eastAsia="宋体" w:cs="宋体"/>
          <w:sz w:val="24"/>
          <w:szCs w:val="24"/>
          <w:highlight w:val="none"/>
        </w:rPr>
        <w:t>6.2按就餐需要配备餐桌餐椅、餐具等设备设施。</w:t>
      </w:r>
    </w:p>
    <w:p w14:paraId="323B9D54">
      <w:pPr>
        <w:keepNext w:val="0"/>
        <w:keepLines w:val="0"/>
        <w:pageBreakBefore w:val="0"/>
        <w:widowControl w:val="0"/>
        <w:kinsoku/>
        <w:wordWrap/>
        <w:overflowPunct/>
        <w:topLinePunct w:val="0"/>
        <w:bidi w:val="0"/>
        <w:snapToGrid/>
        <w:spacing w:line="460" w:lineRule="exact"/>
        <w:ind w:firstLine="720" w:firstLineChars="300"/>
        <w:rPr>
          <w:rFonts w:hint="eastAsia" w:ascii="宋体" w:hAnsi="宋体" w:eastAsia="宋体" w:cs="宋体"/>
          <w:highlight w:val="none"/>
          <w:lang w:val="en-US" w:eastAsia="zh-CN"/>
        </w:rPr>
      </w:pPr>
      <w:r>
        <w:rPr>
          <w:rFonts w:hint="eastAsia" w:ascii="宋体" w:hAnsi="宋体" w:eastAsia="宋体" w:cs="宋体"/>
          <w:sz w:val="24"/>
          <w:szCs w:val="24"/>
          <w:highlight w:val="none"/>
        </w:rPr>
        <w:t>6.3负责分餐场所的水电提供，每年年底由采购人向</w:t>
      </w:r>
      <w:r>
        <w:rPr>
          <w:rFonts w:hint="eastAsia" w:ascii="宋体" w:hAnsi="宋体" w:eastAsia="宋体" w:cs="宋体"/>
          <w:sz w:val="24"/>
          <w:szCs w:val="24"/>
          <w:highlight w:val="none"/>
          <w:lang w:val="en-US" w:eastAsia="zh-CN"/>
        </w:rPr>
        <w:t>中标人</w:t>
      </w:r>
      <w:r>
        <w:rPr>
          <w:rFonts w:hint="eastAsia" w:ascii="宋体" w:hAnsi="宋体" w:eastAsia="宋体" w:cs="宋体"/>
          <w:sz w:val="24"/>
          <w:szCs w:val="24"/>
          <w:highlight w:val="none"/>
        </w:rPr>
        <w:t>按实收取水电费</w:t>
      </w:r>
      <w:r>
        <w:rPr>
          <w:rFonts w:hint="eastAsia" w:ascii="宋体" w:hAnsi="宋体" w:eastAsia="宋体" w:cs="宋体"/>
          <w:sz w:val="24"/>
          <w:szCs w:val="24"/>
          <w:highlight w:val="none"/>
          <w:lang w:eastAsia="zh-CN"/>
        </w:rPr>
        <w:t>。</w:t>
      </w:r>
    </w:p>
    <w:p w14:paraId="68BFD97D">
      <w:pPr>
        <w:keepNext w:val="0"/>
        <w:keepLines w:val="0"/>
        <w:pageBreakBefore w:val="0"/>
        <w:widowControl w:val="0"/>
        <w:kinsoku/>
        <w:wordWrap/>
        <w:overflowPunct/>
        <w:topLinePunct w:val="0"/>
        <w:autoSpaceDE w:val="0"/>
        <w:autoSpaceDN w:val="0"/>
        <w:bidi w:val="0"/>
        <w:adjustRightInd w:val="0"/>
        <w:snapToGrid/>
        <w:spacing w:line="460" w:lineRule="exact"/>
        <w:ind w:firstLine="482" w:firstLineChars="200"/>
        <w:rPr>
          <w:rFonts w:hint="eastAsia" w:ascii="宋体" w:hAnsi="宋体" w:eastAsia="宋体" w:cs="宋体"/>
          <w:color w:val="auto"/>
          <w:sz w:val="24"/>
          <w:szCs w:val="24"/>
          <w:highlight w:val="none"/>
          <w:lang w:val="zh-CN"/>
        </w:rPr>
      </w:pPr>
      <w:r>
        <w:rPr>
          <w:rFonts w:hint="eastAsia" w:ascii="宋体" w:hAnsi="宋体" w:eastAsia="宋体" w:cs="宋体"/>
          <w:b/>
          <w:bCs/>
          <w:color w:val="auto"/>
          <w:sz w:val="24"/>
          <w:szCs w:val="24"/>
          <w:highlight w:val="none"/>
        </w:rPr>
        <w:t>★</w:t>
      </w:r>
      <w:r>
        <w:rPr>
          <w:rFonts w:hint="eastAsia" w:ascii="宋体" w:hAnsi="宋体" w:eastAsia="宋体" w:cs="宋体"/>
          <w:color w:val="auto"/>
          <w:sz w:val="24"/>
          <w:szCs w:val="24"/>
          <w:highlight w:val="none"/>
          <w:lang w:val="en-US" w:eastAsia="zh-CN"/>
        </w:rPr>
        <w:t>7</w:t>
      </w:r>
      <w:r>
        <w:rPr>
          <w:rFonts w:hint="eastAsia" w:ascii="宋体" w:hAnsi="宋体" w:eastAsia="宋体" w:cs="宋体"/>
          <w:color w:val="auto"/>
          <w:sz w:val="24"/>
          <w:szCs w:val="24"/>
          <w:highlight w:val="none"/>
          <w:lang w:val="zh-CN"/>
        </w:rPr>
        <w:t>、</w:t>
      </w:r>
      <w:r>
        <w:rPr>
          <w:rFonts w:hint="eastAsia" w:ascii="宋体" w:hAnsi="宋体" w:eastAsia="宋体" w:cs="宋体"/>
          <w:color w:val="auto"/>
          <w:sz w:val="24"/>
          <w:szCs w:val="24"/>
          <w:highlight w:val="none"/>
          <w:lang w:val="en-US" w:eastAsia="zh-CN"/>
        </w:rPr>
        <w:t>费用组成及付款方式</w:t>
      </w:r>
      <w:r>
        <w:rPr>
          <w:rFonts w:hint="eastAsia" w:ascii="宋体" w:hAnsi="宋体" w:eastAsia="宋体" w:cs="宋体"/>
          <w:color w:val="auto"/>
          <w:sz w:val="24"/>
          <w:szCs w:val="24"/>
          <w:highlight w:val="none"/>
          <w:lang w:val="zh-CN"/>
        </w:rPr>
        <w:t>：</w:t>
      </w:r>
    </w:p>
    <w:p w14:paraId="7EAB3374">
      <w:pPr>
        <w:keepNext w:val="0"/>
        <w:keepLines w:val="0"/>
        <w:pageBreakBefore w:val="0"/>
        <w:widowControl w:val="0"/>
        <w:kinsoku/>
        <w:wordWrap/>
        <w:overflowPunct/>
        <w:topLinePunct w:val="0"/>
        <w:bidi w:val="0"/>
        <w:snapToGrid/>
        <w:spacing w:line="460" w:lineRule="exact"/>
        <w:ind w:firstLine="720" w:firstLineChars="300"/>
        <w:rPr>
          <w:rFonts w:hint="eastAsia" w:ascii="宋体" w:hAnsi="宋体" w:eastAsia="宋体" w:cs="宋体"/>
          <w:b w:val="0"/>
          <w:bCs/>
          <w:sz w:val="24"/>
          <w:szCs w:val="24"/>
          <w:highlight w:val="none"/>
        </w:rPr>
      </w:pPr>
      <w:r>
        <w:rPr>
          <w:rFonts w:hint="eastAsia" w:ascii="宋体" w:hAnsi="宋体" w:eastAsia="宋体" w:cs="宋体"/>
          <w:b w:val="0"/>
          <w:bCs/>
          <w:color w:val="auto"/>
          <w:sz w:val="24"/>
          <w:szCs w:val="24"/>
          <w:highlight w:val="none"/>
          <w:lang w:val="en-US" w:eastAsia="zh-CN"/>
        </w:rPr>
        <w:t>7.1月度</w:t>
      </w:r>
      <w:r>
        <w:rPr>
          <w:rFonts w:hint="eastAsia" w:ascii="宋体" w:hAnsi="宋体" w:eastAsia="宋体" w:cs="宋体"/>
          <w:b w:val="0"/>
          <w:bCs/>
          <w:sz w:val="24"/>
          <w:szCs w:val="24"/>
          <w:highlight w:val="none"/>
        </w:rPr>
        <w:t>餐费总收入由职工供餐收入及其他餐费收入两部分组成（</w:t>
      </w:r>
      <w:r>
        <w:rPr>
          <w:rFonts w:hint="eastAsia" w:ascii="宋体" w:hAnsi="宋体" w:eastAsia="宋体" w:cs="宋体"/>
          <w:b w:val="0"/>
          <w:bCs/>
          <w:sz w:val="24"/>
          <w:szCs w:val="24"/>
          <w:highlight w:val="none"/>
          <w:lang w:val="en-US" w:eastAsia="zh-CN"/>
        </w:rPr>
        <w:t>月度</w:t>
      </w:r>
      <w:r>
        <w:rPr>
          <w:rFonts w:hint="eastAsia" w:ascii="宋体" w:hAnsi="宋体" w:eastAsia="宋体" w:cs="宋体"/>
          <w:b w:val="0"/>
          <w:bCs/>
          <w:sz w:val="24"/>
          <w:szCs w:val="24"/>
          <w:highlight w:val="none"/>
        </w:rPr>
        <w:t>餐费总收入=职工刷卡结算收入+其他餐费收入）。</w:t>
      </w:r>
    </w:p>
    <w:p w14:paraId="1340202A">
      <w:pPr>
        <w:keepNext w:val="0"/>
        <w:keepLines w:val="0"/>
        <w:pageBreakBefore w:val="0"/>
        <w:widowControl w:val="0"/>
        <w:kinsoku/>
        <w:wordWrap/>
        <w:overflowPunct/>
        <w:topLinePunct w:val="0"/>
        <w:bidi w:val="0"/>
        <w:snapToGrid/>
        <w:spacing w:line="460" w:lineRule="exact"/>
        <w:ind w:firstLine="720" w:firstLineChars="300"/>
        <w:rPr>
          <w:rFonts w:hint="eastAsia" w:ascii="宋体" w:hAnsi="宋体" w:eastAsia="宋体" w:cs="宋体"/>
          <w:b w:val="0"/>
          <w:bCs/>
          <w:sz w:val="24"/>
          <w:szCs w:val="24"/>
          <w:highlight w:val="none"/>
          <w:lang w:val="en-US" w:eastAsia="zh-CN"/>
        </w:rPr>
      </w:pPr>
      <w:r>
        <w:rPr>
          <w:rFonts w:hint="eastAsia" w:ascii="宋体" w:hAnsi="宋体" w:eastAsia="宋体" w:cs="宋体"/>
          <w:b w:val="0"/>
          <w:bCs/>
          <w:sz w:val="24"/>
          <w:szCs w:val="24"/>
          <w:highlight w:val="none"/>
        </w:rPr>
        <w:t>职工供餐收入部分：采购人设立食堂专用虚拟账户，职工刷卡结算收入由采购人独立核算及统一管理。</w:t>
      </w:r>
    </w:p>
    <w:p w14:paraId="3F58BDE0">
      <w:pPr>
        <w:keepNext w:val="0"/>
        <w:keepLines w:val="0"/>
        <w:pageBreakBefore w:val="0"/>
        <w:widowControl w:val="0"/>
        <w:kinsoku/>
        <w:wordWrap/>
        <w:overflowPunct/>
        <w:topLinePunct w:val="0"/>
        <w:bidi w:val="0"/>
        <w:snapToGrid/>
        <w:spacing w:line="460" w:lineRule="exact"/>
        <w:ind w:firstLine="720" w:firstLineChars="300"/>
        <w:rPr>
          <w:rFonts w:hint="eastAsia" w:ascii="宋体" w:hAnsi="宋体" w:eastAsia="宋体" w:cs="宋体"/>
          <w:b w:val="0"/>
          <w:bCs w:val="0"/>
          <w:sz w:val="24"/>
          <w:szCs w:val="24"/>
          <w:highlight w:val="none"/>
          <w:lang w:eastAsia="zh-CN"/>
        </w:rPr>
      </w:pPr>
      <w:r>
        <w:rPr>
          <w:rFonts w:hint="eastAsia" w:ascii="宋体" w:hAnsi="宋体" w:eastAsia="宋体" w:cs="宋体"/>
          <w:b w:val="0"/>
          <w:bCs/>
          <w:sz w:val="24"/>
          <w:szCs w:val="24"/>
          <w:highlight w:val="none"/>
        </w:rPr>
        <w:t>其他餐费收入部分：其他餐费收入包括职工刷卡结算收入以外的所有餐费收入（如病人点餐、家属点餐等）</w:t>
      </w:r>
      <w:r>
        <w:rPr>
          <w:rFonts w:hint="eastAsia" w:ascii="宋体" w:hAnsi="宋体" w:eastAsia="宋体" w:cs="宋体"/>
          <w:b w:val="0"/>
          <w:bCs/>
          <w:sz w:val="24"/>
          <w:szCs w:val="24"/>
          <w:highlight w:val="none"/>
          <w:lang w:eastAsia="zh-CN"/>
        </w:rPr>
        <w:t>。</w:t>
      </w:r>
    </w:p>
    <w:p w14:paraId="7C931CDC">
      <w:pPr>
        <w:pStyle w:val="22"/>
        <w:keepNext w:val="0"/>
        <w:keepLines w:val="0"/>
        <w:pageBreakBefore w:val="0"/>
        <w:widowControl w:val="0"/>
        <w:kinsoku/>
        <w:wordWrap/>
        <w:overflowPunct/>
        <w:topLinePunct w:val="0"/>
        <w:bidi w:val="0"/>
        <w:snapToGrid/>
        <w:spacing w:line="460" w:lineRule="exact"/>
        <w:rPr>
          <w:rFonts w:hint="eastAsia" w:ascii="宋体" w:hAnsi="宋体" w:eastAsia="宋体" w:cs="宋体"/>
          <w:highlight w:val="none"/>
          <w:lang w:val="en-US" w:eastAsia="zh-CN"/>
        </w:rPr>
      </w:pPr>
      <w:r>
        <w:rPr>
          <w:rFonts w:hint="eastAsia" w:ascii="宋体" w:hAnsi="宋体" w:eastAsia="宋体" w:cs="宋体"/>
          <w:b w:val="0"/>
          <w:bCs w:val="0"/>
          <w:sz w:val="24"/>
          <w:szCs w:val="24"/>
          <w:highlight w:val="none"/>
          <w:lang w:val="en-US" w:eastAsia="zh-CN"/>
        </w:rPr>
        <w:t>7.2付款</w:t>
      </w:r>
      <w:r>
        <w:rPr>
          <w:rFonts w:hint="eastAsia" w:ascii="宋体" w:hAnsi="宋体" w:eastAsia="宋体" w:cs="宋体"/>
          <w:b w:val="0"/>
          <w:bCs w:val="0"/>
          <w:color w:val="000000"/>
          <w:sz w:val="24"/>
          <w:szCs w:val="24"/>
          <w:highlight w:val="none"/>
        </w:rPr>
        <w:t>方式：采购人</w:t>
      </w:r>
      <w:r>
        <w:rPr>
          <w:rFonts w:hint="eastAsia" w:ascii="宋体" w:hAnsi="宋体" w:eastAsia="宋体" w:cs="宋体"/>
          <w:b w:val="0"/>
          <w:bCs w:val="0"/>
          <w:color w:val="000000"/>
          <w:sz w:val="24"/>
          <w:szCs w:val="24"/>
          <w:highlight w:val="none"/>
          <w:lang w:val="en-US" w:eastAsia="zh-CN"/>
        </w:rPr>
        <w:t>按月度</w:t>
      </w:r>
      <w:r>
        <w:rPr>
          <w:rFonts w:hint="eastAsia" w:ascii="宋体" w:hAnsi="宋体" w:eastAsia="宋体" w:cs="宋体"/>
          <w:b w:val="0"/>
          <w:bCs w:val="0"/>
          <w:color w:val="000000"/>
          <w:kern w:val="2"/>
          <w:sz w:val="24"/>
          <w:szCs w:val="24"/>
          <w:highlight w:val="none"/>
          <w:lang w:val="en-US" w:eastAsia="zh-CN"/>
        </w:rPr>
        <w:t>餐费总收入</w:t>
      </w:r>
      <w:r>
        <w:rPr>
          <w:rFonts w:hint="eastAsia" w:ascii="宋体" w:hAnsi="宋体" w:eastAsia="宋体" w:cs="宋体"/>
          <w:b w:val="0"/>
          <w:bCs w:val="0"/>
          <w:color w:val="000000"/>
          <w:kern w:val="2"/>
          <w:sz w:val="24"/>
          <w:szCs w:val="24"/>
          <w:highlight w:val="none"/>
        </w:rPr>
        <w:t>×</w:t>
      </w:r>
      <w:r>
        <w:rPr>
          <w:rFonts w:hint="eastAsia" w:ascii="宋体" w:hAnsi="宋体" w:eastAsia="宋体" w:cs="宋体"/>
          <w:b w:val="0"/>
          <w:bCs w:val="0"/>
          <w:color w:val="000000"/>
          <w:kern w:val="2"/>
          <w:sz w:val="24"/>
          <w:szCs w:val="24"/>
          <w:highlight w:val="none"/>
          <w:lang w:eastAsia="zh-CN"/>
        </w:rPr>
        <w:t>（</w:t>
      </w:r>
      <w:r>
        <w:rPr>
          <w:rFonts w:hint="eastAsia" w:ascii="宋体" w:hAnsi="宋体" w:eastAsia="宋体" w:cs="宋体"/>
          <w:b w:val="0"/>
          <w:bCs w:val="0"/>
          <w:color w:val="000000"/>
          <w:kern w:val="2"/>
          <w:sz w:val="24"/>
          <w:szCs w:val="24"/>
          <w:highlight w:val="none"/>
          <w:lang w:val="en-US" w:eastAsia="zh-CN"/>
        </w:rPr>
        <w:t>1-中标</w:t>
      </w:r>
      <w:r>
        <w:rPr>
          <w:rFonts w:hint="eastAsia" w:ascii="宋体" w:hAnsi="宋体" w:eastAsia="宋体" w:cs="宋体"/>
          <w:b w:val="0"/>
          <w:bCs w:val="0"/>
          <w:color w:val="000000"/>
          <w:kern w:val="2"/>
          <w:sz w:val="24"/>
          <w:szCs w:val="24"/>
          <w:highlight w:val="none"/>
        </w:rPr>
        <w:t>优惠率</w:t>
      </w:r>
      <w:r>
        <w:rPr>
          <w:rFonts w:hint="eastAsia" w:ascii="宋体" w:hAnsi="宋体" w:eastAsia="宋体" w:cs="宋体"/>
          <w:b w:val="0"/>
          <w:bCs w:val="0"/>
          <w:color w:val="000000"/>
          <w:kern w:val="2"/>
          <w:sz w:val="24"/>
          <w:szCs w:val="24"/>
          <w:highlight w:val="none"/>
          <w:lang w:eastAsia="zh-CN"/>
        </w:rPr>
        <w:t>）</w:t>
      </w:r>
      <w:r>
        <w:rPr>
          <w:rFonts w:hint="eastAsia" w:ascii="宋体" w:hAnsi="宋体" w:eastAsia="宋体" w:cs="宋体"/>
          <w:b w:val="0"/>
          <w:bCs w:val="0"/>
          <w:color w:val="000000"/>
          <w:kern w:val="2"/>
          <w:sz w:val="24"/>
          <w:szCs w:val="24"/>
          <w:highlight w:val="none"/>
          <w:lang w:val="en-US" w:eastAsia="zh-CN"/>
        </w:rPr>
        <w:t>-月度考核扣款后，</w:t>
      </w:r>
      <w:r>
        <w:rPr>
          <w:rFonts w:hint="eastAsia" w:ascii="宋体" w:hAnsi="宋体" w:eastAsia="宋体" w:cs="宋体"/>
          <w:b w:val="0"/>
          <w:bCs w:val="0"/>
          <w:color w:val="000000"/>
          <w:sz w:val="24"/>
          <w:szCs w:val="24"/>
          <w:highlight w:val="none"/>
        </w:rPr>
        <w:t>在月后的10个工作日内向</w:t>
      </w:r>
      <w:r>
        <w:rPr>
          <w:rFonts w:hint="eastAsia" w:ascii="宋体" w:hAnsi="宋体" w:eastAsia="宋体" w:cs="宋体"/>
          <w:b w:val="0"/>
          <w:bCs w:val="0"/>
          <w:color w:val="000000"/>
          <w:sz w:val="24"/>
          <w:szCs w:val="24"/>
          <w:highlight w:val="none"/>
          <w:lang w:val="en-US" w:eastAsia="zh-CN"/>
        </w:rPr>
        <w:t>中标人</w:t>
      </w:r>
      <w:r>
        <w:rPr>
          <w:rFonts w:hint="eastAsia" w:ascii="宋体" w:hAnsi="宋体" w:eastAsia="宋体" w:cs="宋体"/>
          <w:b w:val="0"/>
          <w:bCs w:val="0"/>
          <w:color w:val="000000"/>
          <w:sz w:val="24"/>
          <w:szCs w:val="24"/>
          <w:highlight w:val="none"/>
        </w:rPr>
        <w:t>支付上月</w:t>
      </w:r>
      <w:r>
        <w:rPr>
          <w:rFonts w:hint="eastAsia" w:ascii="宋体" w:hAnsi="宋体" w:eastAsia="宋体" w:cs="宋体"/>
          <w:b w:val="0"/>
          <w:bCs w:val="0"/>
          <w:color w:val="000000"/>
          <w:sz w:val="24"/>
          <w:szCs w:val="24"/>
          <w:highlight w:val="none"/>
          <w:lang w:val="en-US" w:eastAsia="zh-CN"/>
        </w:rPr>
        <w:t>餐费</w:t>
      </w:r>
      <w:r>
        <w:rPr>
          <w:rFonts w:hint="eastAsia" w:ascii="宋体" w:hAnsi="宋体" w:eastAsia="宋体" w:cs="宋体"/>
          <w:b w:val="0"/>
          <w:bCs w:val="0"/>
          <w:color w:val="000000"/>
          <w:sz w:val="24"/>
          <w:szCs w:val="24"/>
          <w:highlight w:val="none"/>
          <w:lang w:eastAsia="zh-CN"/>
        </w:rPr>
        <w:t>。</w:t>
      </w:r>
      <w:r>
        <w:rPr>
          <w:rFonts w:hint="eastAsia" w:ascii="宋体" w:hAnsi="宋体" w:eastAsia="宋体" w:cs="宋体"/>
          <w:b w:val="0"/>
          <w:bCs w:val="0"/>
          <w:color w:val="000000"/>
          <w:sz w:val="24"/>
          <w:szCs w:val="24"/>
          <w:highlight w:val="none"/>
          <w:lang w:val="en-US" w:eastAsia="zh-CN"/>
        </w:rPr>
        <w:t>月度考核扣款从月度餐费中扣除，考核详见《考核评分表》。</w:t>
      </w:r>
    </w:p>
    <w:p w14:paraId="4E3D576A">
      <w:pPr>
        <w:keepNext w:val="0"/>
        <w:keepLines w:val="0"/>
        <w:pageBreakBefore w:val="0"/>
        <w:widowControl w:val="0"/>
        <w:kinsoku/>
        <w:wordWrap/>
        <w:overflowPunct/>
        <w:topLinePunct w:val="0"/>
        <w:autoSpaceDE w:val="0"/>
        <w:autoSpaceDN w:val="0"/>
        <w:bidi w:val="0"/>
        <w:adjustRightInd w:val="0"/>
        <w:snapToGrid/>
        <w:spacing w:line="460" w:lineRule="exact"/>
        <w:ind w:firstLine="482" w:firstLineChars="200"/>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注：（1）</w:t>
      </w:r>
      <w:r>
        <w:rPr>
          <w:rFonts w:hint="eastAsia" w:ascii="宋体" w:hAnsi="宋体" w:eastAsia="宋体" w:cs="宋体"/>
          <w:b/>
          <w:bCs/>
          <w:color w:val="auto"/>
          <w:sz w:val="24"/>
          <w:szCs w:val="24"/>
          <w:highlight w:val="none"/>
          <w:lang w:val="zh-CN"/>
        </w:rPr>
        <w:t>以上每次付款前，</w:t>
      </w:r>
      <w:r>
        <w:rPr>
          <w:rFonts w:hint="eastAsia" w:ascii="宋体" w:hAnsi="宋体" w:eastAsia="宋体" w:cs="宋体"/>
          <w:b/>
          <w:bCs/>
          <w:color w:val="auto"/>
          <w:sz w:val="24"/>
          <w:szCs w:val="24"/>
          <w:highlight w:val="none"/>
          <w:lang w:val="en-US" w:eastAsia="zh-CN"/>
        </w:rPr>
        <w:t>中标人</w:t>
      </w:r>
      <w:r>
        <w:rPr>
          <w:rFonts w:hint="eastAsia" w:ascii="宋体" w:hAnsi="宋体" w:eastAsia="宋体" w:cs="宋体"/>
          <w:b/>
          <w:bCs/>
          <w:color w:val="auto"/>
          <w:sz w:val="24"/>
          <w:szCs w:val="24"/>
          <w:highlight w:val="none"/>
          <w:lang w:val="zh-CN"/>
        </w:rPr>
        <w:t>均应提供符合</w:t>
      </w:r>
      <w:r>
        <w:rPr>
          <w:rFonts w:hint="eastAsia" w:ascii="宋体" w:hAnsi="宋体" w:eastAsia="宋体" w:cs="宋体"/>
          <w:b/>
          <w:bCs/>
          <w:color w:val="auto"/>
          <w:sz w:val="24"/>
          <w:szCs w:val="24"/>
          <w:highlight w:val="none"/>
          <w:lang w:val="en-US" w:eastAsia="zh-CN"/>
        </w:rPr>
        <w:t>采购人</w:t>
      </w:r>
      <w:r>
        <w:rPr>
          <w:rFonts w:hint="eastAsia" w:ascii="宋体" w:hAnsi="宋体" w:eastAsia="宋体" w:cs="宋体"/>
          <w:b/>
          <w:bCs/>
          <w:color w:val="auto"/>
          <w:sz w:val="24"/>
          <w:szCs w:val="24"/>
          <w:highlight w:val="none"/>
          <w:lang w:val="zh-CN"/>
        </w:rPr>
        <w:t>要求的同等金额的合法有效发票。否则，</w:t>
      </w:r>
      <w:r>
        <w:rPr>
          <w:rFonts w:hint="eastAsia" w:ascii="宋体" w:hAnsi="宋体" w:eastAsia="宋体" w:cs="宋体"/>
          <w:b/>
          <w:bCs/>
          <w:color w:val="auto"/>
          <w:sz w:val="24"/>
          <w:szCs w:val="24"/>
          <w:highlight w:val="none"/>
          <w:lang w:val="en-US" w:eastAsia="zh-CN"/>
        </w:rPr>
        <w:t>采购人</w:t>
      </w:r>
      <w:r>
        <w:rPr>
          <w:rFonts w:hint="eastAsia" w:ascii="宋体" w:hAnsi="宋体" w:eastAsia="宋体" w:cs="宋体"/>
          <w:b/>
          <w:bCs/>
          <w:color w:val="auto"/>
          <w:sz w:val="24"/>
          <w:szCs w:val="24"/>
          <w:highlight w:val="none"/>
          <w:lang w:val="zh-CN"/>
        </w:rPr>
        <w:t>有权顺延付款时间，且不承担任何违约及/或赔偿责任</w:t>
      </w:r>
      <w:r>
        <w:rPr>
          <w:rFonts w:hint="eastAsia" w:ascii="宋体" w:hAnsi="宋体" w:eastAsia="宋体" w:cs="宋体"/>
          <w:b/>
          <w:color w:val="auto"/>
          <w:sz w:val="24"/>
          <w:szCs w:val="24"/>
          <w:highlight w:val="none"/>
        </w:rPr>
        <w:t>。</w:t>
      </w:r>
    </w:p>
    <w:p w14:paraId="042B33A4">
      <w:pPr>
        <w:keepNext w:val="0"/>
        <w:keepLines w:val="0"/>
        <w:pageBreakBefore w:val="0"/>
        <w:widowControl w:val="0"/>
        <w:numPr>
          <w:ilvl w:val="0"/>
          <w:numId w:val="0"/>
        </w:numPr>
        <w:kinsoku/>
        <w:wordWrap/>
        <w:overflowPunct/>
        <w:topLinePunct w:val="0"/>
        <w:autoSpaceDE w:val="0"/>
        <w:autoSpaceDN w:val="0"/>
        <w:bidi w:val="0"/>
        <w:adjustRightInd w:val="0"/>
        <w:snapToGrid/>
        <w:spacing w:line="460" w:lineRule="exact"/>
        <w:ind w:firstLine="723" w:firstLineChars="300"/>
        <w:rPr>
          <w:rFonts w:hint="eastAsia" w:ascii="宋体" w:hAnsi="宋体" w:eastAsia="宋体" w:cs="宋体"/>
          <w:b/>
          <w:bCs/>
          <w:color w:val="auto"/>
          <w:sz w:val="24"/>
          <w:szCs w:val="24"/>
          <w:highlight w:val="none"/>
        </w:rPr>
      </w:pPr>
      <w:r>
        <w:rPr>
          <w:rFonts w:hint="eastAsia" w:ascii="宋体" w:hAnsi="宋体" w:eastAsia="宋体" w:cs="宋体"/>
          <w:b/>
          <w:color w:val="auto"/>
          <w:sz w:val="24"/>
          <w:szCs w:val="24"/>
          <w:highlight w:val="none"/>
        </w:rPr>
        <w:t>（</w:t>
      </w:r>
      <w:r>
        <w:rPr>
          <w:rFonts w:hint="eastAsia" w:ascii="宋体" w:hAnsi="宋体" w:eastAsia="宋体" w:cs="宋体"/>
          <w:b/>
          <w:color w:val="auto"/>
          <w:sz w:val="24"/>
          <w:szCs w:val="24"/>
          <w:highlight w:val="none"/>
          <w:lang w:val="en-US" w:eastAsia="zh-CN"/>
        </w:rPr>
        <w:t>2</w:t>
      </w:r>
      <w:r>
        <w:rPr>
          <w:rFonts w:hint="eastAsia" w:ascii="宋体" w:hAnsi="宋体" w:eastAsia="宋体" w:cs="宋体"/>
          <w:b/>
          <w:color w:val="auto"/>
          <w:sz w:val="24"/>
          <w:szCs w:val="24"/>
          <w:highlight w:val="none"/>
        </w:rPr>
        <w:t>）本项目支付方式</w:t>
      </w:r>
      <w:r>
        <w:rPr>
          <w:rFonts w:hint="eastAsia" w:ascii="宋体" w:hAnsi="宋体" w:eastAsia="宋体" w:cs="宋体"/>
          <w:b/>
          <w:color w:val="auto"/>
          <w:sz w:val="24"/>
          <w:szCs w:val="24"/>
          <w:highlight w:val="none"/>
          <w:lang w:val="en-US" w:eastAsia="zh-CN"/>
        </w:rPr>
        <w:t>包括但不限于</w:t>
      </w:r>
      <w:r>
        <w:rPr>
          <w:rFonts w:hint="eastAsia" w:ascii="宋体" w:hAnsi="宋体" w:eastAsia="宋体" w:cs="宋体"/>
          <w:b/>
          <w:bCs/>
          <w:color w:val="auto"/>
          <w:sz w:val="24"/>
          <w:szCs w:val="24"/>
          <w:highlight w:val="none"/>
        </w:rPr>
        <w:t>数字人民币、现金、银行汇票、转账支票等。</w:t>
      </w:r>
    </w:p>
    <w:p w14:paraId="4055F9B5">
      <w:pPr>
        <w:keepNext w:val="0"/>
        <w:keepLines w:val="0"/>
        <w:pageBreakBefore w:val="0"/>
        <w:widowControl w:val="0"/>
        <w:kinsoku/>
        <w:wordWrap/>
        <w:overflowPunct/>
        <w:topLinePunct w:val="0"/>
        <w:autoSpaceDE w:val="0"/>
        <w:autoSpaceDN w:val="0"/>
        <w:bidi w:val="0"/>
        <w:adjustRightInd w:val="0"/>
        <w:snapToGrid/>
        <w:spacing w:line="460" w:lineRule="exact"/>
        <w:ind w:firstLine="482" w:firstLineChars="200"/>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不满足上述付款要求的</w:t>
      </w:r>
      <w:r>
        <w:rPr>
          <w:rFonts w:hint="eastAsia" w:ascii="宋体" w:hAnsi="宋体" w:eastAsia="宋体" w:cs="宋体"/>
          <w:b/>
          <w:color w:val="auto"/>
          <w:sz w:val="24"/>
          <w:szCs w:val="24"/>
          <w:highlight w:val="none"/>
          <w:lang w:val="zh-CN"/>
        </w:rPr>
        <w:t>将作无效投标处理</w:t>
      </w:r>
      <w:r>
        <w:rPr>
          <w:rFonts w:hint="eastAsia" w:ascii="宋体" w:hAnsi="宋体" w:eastAsia="宋体" w:cs="宋体"/>
          <w:b/>
          <w:color w:val="auto"/>
          <w:sz w:val="24"/>
          <w:szCs w:val="24"/>
          <w:highlight w:val="none"/>
        </w:rPr>
        <w:t>。</w:t>
      </w:r>
    </w:p>
    <w:p w14:paraId="4F9D20D1">
      <w:pPr>
        <w:keepNext w:val="0"/>
        <w:keepLines w:val="0"/>
        <w:pageBreakBefore w:val="0"/>
        <w:widowControl w:val="0"/>
        <w:kinsoku/>
        <w:wordWrap/>
        <w:overflowPunct/>
        <w:topLinePunct w:val="0"/>
        <w:autoSpaceDE w:val="0"/>
        <w:autoSpaceDN w:val="0"/>
        <w:bidi w:val="0"/>
        <w:adjustRightInd w:val="0"/>
        <w:snapToGrid/>
        <w:spacing w:line="460" w:lineRule="exact"/>
        <w:ind w:firstLine="482" w:firstLineChars="200"/>
        <w:rPr>
          <w:rFonts w:hint="eastAsia" w:ascii="宋体" w:hAnsi="宋体" w:eastAsia="宋体" w:cs="宋体"/>
          <w:b/>
          <w:color w:val="auto"/>
          <w:sz w:val="24"/>
          <w:szCs w:val="24"/>
          <w:highlight w:val="none"/>
          <w:lang w:val="zh-CN"/>
        </w:rPr>
      </w:pPr>
      <w:r>
        <w:rPr>
          <w:rFonts w:hint="eastAsia" w:ascii="宋体" w:hAnsi="宋体" w:eastAsia="宋体" w:cs="宋体"/>
          <w:b/>
          <w:color w:val="auto"/>
          <w:sz w:val="24"/>
          <w:szCs w:val="24"/>
          <w:highlight w:val="none"/>
          <w:lang w:val="en-US" w:eastAsia="zh-CN"/>
        </w:rPr>
        <w:t>8</w:t>
      </w:r>
      <w:r>
        <w:rPr>
          <w:rFonts w:hint="eastAsia" w:ascii="宋体" w:hAnsi="宋体" w:eastAsia="宋体" w:cs="宋体"/>
          <w:b/>
          <w:color w:val="auto"/>
          <w:sz w:val="24"/>
          <w:szCs w:val="24"/>
          <w:highlight w:val="none"/>
          <w:lang w:val="zh-CN"/>
        </w:rPr>
        <w:t>、本项目</w:t>
      </w:r>
      <w:r>
        <w:rPr>
          <w:rFonts w:hint="eastAsia" w:ascii="宋体" w:hAnsi="宋体" w:eastAsia="宋体" w:cs="宋体"/>
          <w:b/>
          <w:color w:val="auto"/>
          <w:sz w:val="24"/>
          <w:szCs w:val="24"/>
          <w:highlight w:val="none"/>
          <w:lang w:val="en-US" w:eastAsia="zh-CN"/>
        </w:rPr>
        <w:t>二年</w:t>
      </w:r>
      <w:r>
        <w:rPr>
          <w:rFonts w:hint="eastAsia" w:ascii="宋体" w:hAnsi="宋体" w:eastAsia="宋体" w:cs="宋体"/>
          <w:b/>
          <w:color w:val="auto"/>
          <w:sz w:val="24"/>
          <w:szCs w:val="24"/>
          <w:highlight w:val="none"/>
          <w:lang w:val="zh-CN"/>
        </w:rPr>
        <w:t>采购预算为¥</w:t>
      </w:r>
      <w:r>
        <w:rPr>
          <w:rFonts w:hint="eastAsia" w:ascii="宋体" w:hAnsi="宋体" w:eastAsia="宋体" w:cs="宋体"/>
          <w:b/>
          <w:color w:val="auto"/>
          <w:sz w:val="24"/>
          <w:szCs w:val="24"/>
          <w:highlight w:val="none"/>
          <w:lang w:val="en-US" w:eastAsia="zh-CN"/>
        </w:rPr>
        <w:t>2920000.00</w:t>
      </w:r>
      <w:r>
        <w:rPr>
          <w:rFonts w:hint="eastAsia" w:ascii="宋体" w:hAnsi="宋体" w:eastAsia="宋体" w:cs="宋体"/>
          <w:b/>
          <w:color w:val="auto"/>
          <w:sz w:val="24"/>
          <w:szCs w:val="24"/>
          <w:highlight w:val="none"/>
          <w:lang w:val="zh-CN"/>
        </w:rPr>
        <w:t>元（人民币</w:t>
      </w:r>
      <w:r>
        <w:rPr>
          <w:rFonts w:hint="eastAsia" w:ascii="宋体" w:hAnsi="宋体" w:eastAsia="宋体" w:cs="宋体"/>
          <w:b/>
          <w:color w:val="auto"/>
          <w:sz w:val="24"/>
          <w:szCs w:val="24"/>
          <w:highlight w:val="none"/>
          <w:lang w:val="en-US" w:eastAsia="zh-CN"/>
        </w:rPr>
        <w:t>贰佰玖拾贰万元整</w:t>
      </w:r>
      <w:r>
        <w:rPr>
          <w:rFonts w:hint="eastAsia" w:ascii="宋体" w:hAnsi="宋体" w:eastAsia="宋体" w:cs="宋体"/>
          <w:b/>
          <w:color w:val="auto"/>
          <w:sz w:val="24"/>
          <w:szCs w:val="24"/>
          <w:highlight w:val="none"/>
          <w:lang w:val="zh-CN"/>
        </w:rPr>
        <w:t>）。</w:t>
      </w:r>
      <w:r>
        <w:rPr>
          <w:rFonts w:hint="eastAsia" w:ascii="宋体" w:hAnsi="宋体" w:eastAsia="宋体" w:cs="宋体"/>
          <w:b/>
          <w:color w:val="auto"/>
          <w:sz w:val="24"/>
          <w:szCs w:val="24"/>
          <w:highlight w:val="none"/>
          <w:lang w:val="en-US" w:eastAsia="zh-CN"/>
        </w:rPr>
        <w:t>投标人报价以优惠率进行报价，优惠率</w:t>
      </w:r>
      <w:r>
        <w:rPr>
          <w:rFonts w:hint="eastAsia" w:ascii="宋体" w:hAnsi="宋体" w:eastAsia="宋体" w:cs="宋体"/>
          <w:b/>
          <w:color w:val="auto"/>
          <w:sz w:val="24"/>
          <w:szCs w:val="24"/>
          <w:highlight w:val="none"/>
          <w:lang w:val="zh-CN"/>
        </w:rPr>
        <w:t>不得</w:t>
      </w:r>
      <w:r>
        <w:rPr>
          <w:rFonts w:hint="eastAsia" w:ascii="宋体" w:hAnsi="宋体" w:eastAsia="宋体" w:cs="宋体"/>
          <w:b/>
          <w:color w:val="auto"/>
          <w:sz w:val="24"/>
          <w:szCs w:val="24"/>
          <w:highlight w:val="none"/>
          <w:lang w:val="en-US" w:eastAsia="zh-CN"/>
        </w:rPr>
        <w:t>低于1%</w:t>
      </w:r>
      <w:r>
        <w:rPr>
          <w:rFonts w:hint="eastAsia" w:ascii="宋体" w:hAnsi="宋体" w:eastAsia="宋体" w:cs="宋体"/>
          <w:b/>
          <w:color w:val="auto"/>
          <w:sz w:val="24"/>
          <w:szCs w:val="24"/>
          <w:highlight w:val="none"/>
          <w:lang w:val="zh-CN"/>
        </w:rPr>
        <w:t>，否则将作无效投标处理。</w:t>
      </w:r>
    </w:p>
    <w:p w14:paraId="4D155151">
      <w:pPr>
        <w:keepNext w:val="0"/>
        <w:keepLines w:val="0"/>
        <w:pageBreakBefore w:val="0"/>
        <w:widowControl w:val="0"/>
        <w:kinsoku/>
        <w:wordWrap/>
        <w:overflowPunct/>
        <w:topLinePunct w:val="0"/>
        <w:autoSpaceDE w:val="0"/>
        <w:autoSpaceDN w:val="0"/>
        <w:bidi w:val="0"/>
        <w:adjustRightInd w:val="0"/>
        <w:snapToGrid/>
        <w:spacing w:line="460" w:lineRule="exact"/>
        <w:ind w:firstLine="482" w:firstLineChars="200"/>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val="en-US" w:eastAsia="zh-CN"/>
        </w:rPr>
        <w:t>9</w:t>
      </w:r>
      <w:r>
        <w:rPr>
          <w:rFonts w:hint="eastAsia" w:ascii="宋体" w:hAnsi="宋体" w:eastAsia="宋体" w:cs="宋体"/>
          <w:b/>
          <w:color w:val="auto"/>
          <w:sz w:val="24"/>
          <w:szCs w:val="24"/>
          <w:highlight w:val="none"/>
        </w:rPr>
        <w:t>、本项目不得以任何形式进行转包及分包。</w:t>
      </w:r>
    </w:p>
    <w:p w14:paraId="52942396">
      <w:pPr>
        <w:keepNext w:val="0"/>
        <w:keepLines w:val="0"/>
        <w:pageBreakBefore w:val="0"/>
        <w:widowControl w:val="0"/>
        <w:kinsoku/>
        <w:wordWrap/>
        <w:overflowPunct/>
        <w:topLinePunct w:val="0"/>
        <w:bidi w:val="0"/>
        <w:snapToGrid/>
        <w:spacing w:line="460" w:lineRule="exact"/>
        <w:rPr>
          <w:rFonts w:hint="eastAsia" w:ascii="宋体" w:hAnsi="宋体" w:eastAsia="宋体" w:cs="宋体"/>
          <w:b/>
          <w:bCs/>
          <w:color w:val="auto"/>
          <w:sz w:val="28"/>
          <w:szCs w:val="28"/>
          <w:highlight w:val="none"/>
          <w:lang w:val="zh-CN"/>
        </w:rPr>
      </w:pPr>
    </w:p>
    <w:p w14:paraId="14E66092">
      <w:pPr>
        <w:keepNext w:val="0"/>
        <w:keepLines w:val="0"/>
        <w:pageBreakBefore w:val="0"/>
        <w:widowControl w:val="0"/>
        <w:kinsoku/>
        <w:wordWrap/>
        <w:overflowPunct/>
        <w:topLinePunct w:val="0"/>
        <w:bidi w:val="0"/>
        <w:snapToGrid/>
        <w:spacing w:line="460" w:lineRule="exact"/>
        <w:rPr>
          <w:rFonts w:hint="eastAsia" w:ascii="宋体" w:hAnsi="宋体" w:eastAsia="宋体" w:cs="宋体"/>
          <w:b/>
          <w:bCs/>
          <w:color w:val="auto"/>
          <w:sz w:val="28"/>
          <w:szCs w:val="28"/>
          <w:highlight w:val="none"/>
          <w:lang w:val="zh-CN"/>
        </w:rPr>
      </w:pPr>
      <w:r>
        <w:rPr>
          <w:rFonts w:hint="eastAsia" w:ascii="宋体" w:hAnsi="宋体" w:eastAsia="宋体" w:cs="宋体"/>
          <w:b/>
          <w:bCs/>
          <w:color w:val="auto"/>
          <w:sz w:val="28"/>
          <w:szCs w:val="28"/>
          <w:highlight w:val="none"/>
          <w:lang w:val="zh-CN"/>
        </w:rPr>
        <w:t>二、</w:t>
      </w:r>
      <w:r>
        <w:rPr>
          <w:rFonts w:hint="eastAsia" w:ascii="宋体" w:hAnsi="宋体" w:eastAsia="宋体" w:cs="宋体"/>
          <w:b/>
          <w:bCs/>
          <w:color w:val="auto"/>
          <w:sz w:val="28"/>
          <w:szCs w:val="28"/>
          <w:highlight w:val="none"/>
          <w:lang w:val="en-US" w:eastAsia="zh-CN"/>
        </w:rPr>
        <w:t>项目服务要求</w:t>
      </w:r>
      <w:r>
        <w:rPr>
          <w:rFonts w:hint="eastAsia" w:ascii="宋体" w:hAnsi="宋体" w:eastAsia="宋体" w:cs="宋体"/>
          <w:b/>
          <w:bCs/>
          <w:color w:val="auto"/>
          <w:sz w:val="28"/>
          <w:szCs w:val="28"/>
          <w:highlight w:val="none"/>
          <w:lang w:val="zh-CN"/>
        </w:rPr>
        <w:t>：</w:t>
      </w:r>
      <w:bookmarkStart w:id="277" w:name="_Toc16403"/>
    </w:p>
    <w:p w14:paraId="7286F685">
      <w:pPr>
        <w:keepNext w:val="0"/>
        <w:keepLines w:val="0"/>
        <w:pageBreakBefore w:val="0"/>
        <w:widowControl w:val="0"/>
        <w:kinsoku/>
        <w:wordWrap/>
        <w:overflowPunct/>
        <w:topLinePunct w:val="0"/>
        <w:bidi w:val="0"/>
        <w:snapToGrid/>
        <w:spacing w:line="460" w:lineRule="exact"/>
        <w:rPr>
          <w:rFonts w:hint="eastAsia" w:ascii="宋体" w:hAnsi="宋体" w:eastAsia="宋体" w:cs="宋体"/>
          <w:b/>
          <w:sz w:val="28"/>
          <w:szCs w:val="28"/>
          <w:highlight w:val="none"/>
        </w:rPr>
      </w:pPr>
      <w:r>
        <w:rPr>
          <w:rFonts w:hint="eastAsia" w:ascii="宋体" w:hAnsi="宋体" w:eastAsia="宋体" w:cs="宋体"/>
          <w:b/>
          <w:sz w:val="24"/>
          <w:szCs w:val="24"/>
          <w:highlight w:val="none"/>
        </w:rPr>
        <w:t>（一）总体服务要求：</w:t>
      </w:r>
      <w:bookmarkEnd w:id="277"/>
    </w:p>
    <w:p w14:paraId="77161504">
      <w:pPr>
        <w:keepNext w:val="0"/>
        <w:keepLines w:val="0"/>
        <w:pageBreakBefore w:val="0"/>
        <w:widowControl w:val="0"/>
        <w:kinsoku/>
        <w:wordWrap/>
        <w:overflowPunct/>
        <w:topLinePunct w:val="0"/>
        <w:autoSpaceDE w:val="0"/>
        <w:autoSpaceDN w:val="0"/>
        <w:bidi w:val="0"/>
        <w:adjustRightInd w:val="0"/>
        <w:snapToGrid/>
        <w:spacing w:line="460" w:lineRule="exact"/>
        <w:ind w:firstLine="482" w:firstLineChars="200"/>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★1、服务期内，</w:t>
      </w:r>
      <w:r>
        <w:rPr>
          <w:rFonts w:hint="eastAsia" w:ascii="宋体" w:hAnsi="宋体" w:eastAsia="宋体" w:cs="宋体"/>
          <w:b/>
          <w:bCs/>
          <w:sz w:val="24"/>
          <w:szCs w:val="24"/>
          <w:highlight w:val="none"/>
          <w:lang w:val="en-US" w:eastAsia="zh-CN"/>
        </w:rPr>
        <w:t>中标人</w:t>
      </w:r>
      <w:r>
        <w:rPr>
          <w:rFonts w:hint="eastAsia" w:ascii="宋体" w:hAnsi="宋体" w:eastAsia="宋体" w:cs="宋体"/>
          <w:b/>
          <w:bCs/>
          <w:sz w:val="24"/>
          <w:szCs w:val="24"/>
          <w:highlight w:val="none"/>
        </w:rPr>
        <w:t>须保证全年（包括节假日）每天准时进行供餐。各餐均由</w:t>
      </w:r>
      <w:r>
        <w:rPr>
          <w:rFonts w:hint="eastAsia" w:ascii="宋体" w:hAnsi="宋体" w:eastAsia="宋体" w:cs="宋体"/>
          <w:b/>
          <w:bCs/>
          <w:sz w:val="24"/>
          <w:szCs w:val="24"/>
          <w:highlight w:val="none"/>
          <w:lang w:val="en-US" w:eastAsia="zh-CN"/>
        </w:rPr>
        <w:t>中标人</w:t>
      </w:r>
      <w:r>
        <w:rPr>
          <w:rFonts w:hint="eastAsia" w:ascii="宋体" w:hAnsi="宋体" w:eastAsia="宋体" w:cs="宋体"/>
          <w:b/>
          <w:bCs/>
          <w:sz w:val="24"/>
          <w:szCs w:val="24"/>
          <w:highlight w:val="none"/>
        </w:rPr>
        <w:t>负责食材采购、加工、配餐。</w:t>
      </w:r>
    </w:p>
    <w:p w14:paraId="53C65878">
      <w:pPr>
        <w:keepNext w:val="0"/>
        <w:keepLines w:val="0"/>
        <w:pageBreakBefore w:val="0"/>
        <w:widowControl w:val="0"/>
        <w:kinsoku/>
        <w:wordWrap/>
        <w:overflowPunct/>
        <w:topLinePunct w:val="0"/>
        <w:autoSpaceDE w:val="0"/>
        <w:autoSpaceDN w:val="0"/>
        <w:bidi w:val="0"/>
        <w:adjustRightInd w:val="0"/>
        <w:snapToGrid/>
        <w:spacing w:line="460" w:lineRule="exact"/>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2、</w:t>
      </w:r>
      <w:r>
        <w:rPr>
          <w:rFonts w:hint="eastAsia" w:ascii="宋体" w:hAnsi="宋体" w:eastAsia="宋体" w:cs="宋体"/>
          <w:sz w:val="24"/>
          <w:szCs w:val="24"/>
          <w:highlight w:val="none"/>
          <w:lang w:val="en-US" w:eastAsia="zh-CN"/>
        </w:rPr>
        <w:t>中标人</w:t>
      </w:r>
      <w:r>
        <w:rPr>
          <w:rFonts w:hint="eastAsia" w:ascii="宋体" w:hAnsi="宋体" w:eastAsia="宋体" w:cs="宋体"/>
          <w:sz w:val="24"/>
          <w:szCs w:val="24"/>
          <w:highlight w:val="none"/>
        </w:rPr>
        <w:t>服务过程中的食材采购、仓储、加工、等环节的食品安全管理，必须严格按照国家有关食品安全标准及要求执行。</w:t>
      </w:r>
      <w:r>
        <w:rPr>
          <w:rFonts w:hint="eastAsia" w:ascii="宋体" w:hAnsi="宋体" w:eastAsia="宋体" w:cs="宋体"/>
          <w:sz w:val="24"/>
          <w:szCs w:val="24"/>
          <w:highlight w:val="none"/>
          <w:lang w:val="en-US" w:eastAsia="zh-CN"/>
        </w:rPr>
        <w:t>中标人</w:t>
      </w:r>
      <w:r>
        <w:rPr>
          <w:rFonts w:hint="eastAsia" w:ascii="宋体" w:hAnsi="宋体" w:eastAsia="宋体" w:cs="宋体"/>
          <w:sz w:val="24"/>
          <w:szCs w:val="24"/>
          <w:highlight w:val="none"/>
        </w:rPr>
        <w:t>应建立并完善内部管理制度、加工操作流程规范制度、内部考核、服务质量制度等各项制度，必须负责</w:t>
      </w:r>
      <w:r>
        <w:rPr>
          <w:rFonts w:hint="eastAsia" w:ascii="宋体" w:hAnsi="宋体" w:eastAsia="宋体" w:cs="宋体"/>
          <w:color w:val="000000"/>
          <w:sz w:val="24"/>
          <w:szCs w:val="24"/>
          <w:highlight w:val="none"/>
        </w:rPr>
        <w:t>服务</w:t>
      </w:r>
      <w:r>
        <w:rPr>
          <w:rFonts w:hint="eastAsia" w:ascii="宋体" w:hAnsi="宋体" w:eastAsia="宋体" w:cs="宋体"/>
          <w:sz w:val="24"/>
          <w:szCs w:val="24"/>
          <w:highlight w:val="none"/>
        </w:rPr>
        <w:t>人员的食品安全知识培训。所有</w:t>
      </w:r>
      <w:r>
        <w:rPr>
          <w:rFonts w:hint="eastAsia" w:ascii="宋体" w:hAnsi="宋体" w:eastAsia="宋体" w:cs="宋体"/>
          <w:color w:val="000000"/>
          <w:sz w:val="24"/>
          <w:szCs w:val="24"/>
          <w:highlight w:val="none"/>
        </w:rPr>
        <w:t>服务</w:t>
      </w:r>
      <w:r>
        <w:rPr>
          <w:rFonts w:hint="eastAsia" w:ascii="宋体" w:hAnsi="宋体" w:eastAsia="宋体" w:cs="宋体"/>
          <w:sz w:val="24"/>
          <w:szCs w:val="24"/>
          <w:highlight w:val="none"/>
        </w:rPr>
        <w:t>人员须持有有效健康合格证明方可上岗。</w:t>
      </w:r>
    </w:p>
    <w:p w14:paraId="61E9A94C">
      <w:pPr>
        <w:keepNext w:val="0"/>
        <w:keepLines w:val="0"/>
        <w:pageBreakBefore w:val="0"/>
        <w:widowControl w:val="0"/>
        <w:kinsoku/>
        <w:wordWrap/>
        <w:overflowPunct/>
        <w:topLinePunct w:val="0"/>
        <w:bidi w:val="0"/>
        <w:snapToGrid/>
        <w:spacing w:line="460" w:lineRule="exact"/>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3</w:t>
      </w:r>
      <w:r>
        <w:rPr>
          <w:rFonts w:hint="eastAsia" w:ascii="宋体" w:hAnsi="宋体" w:eastAsia="宋体" w:cs="宋体"/>
          <w:sz w:val="24"/>
          <w:szCs w:val="24"/>
          <w:highlight w:val="none"/>
        </w:rPr>
        <w:t>、</w:t>
      </w:r>
      <w:r>
        <w:rPr>
          <w:rFonts w:hint="eastAsia" w:ascii="宋体" w:hAnsi="宋体" w:eastAsia="宋体" w:cs="宋体"/>
          <w:sz w:val="24"/>
          <w:szCs w:val="24"/>
          <w:highlight w:val="none"/>
          <w:lang w:val="en-US" w:eastAsia="zh-CN"/>
        </w:rPr>
        <w:t>中标人</w:t>
      </w:r>
      <w:r>
        <w:rPr>
          <w:rFonts w:hint="eastAsia" w:ascii="宋体" w:hAnsi="宋体" w:eastAsia="宋体" w:cs="宋体"/>
          <w:sz w:val="24"/>
          <w:szCs w:val="24"/>
          <w:highlight w:val="none"/>
        </w:rPr>
        <w:t>负责本项目</w:t>
      </w:r>
      <w:r>
        <w:rPr>
          <w:rFonts w:hint="eastAsia" w:ascii="宋体" w:hAnsi="宋体" w:eastAsia="宋体" w:cs="宋体"/>
          <w:color w:val="000000"/>
          <w:sz w:val="24"/>
          <w:szCs w:val="24"/>
          <w:highlight w:val="none"/>
        </w:rPr>
        <w:t>服务人员</w:t>
      </w:r>
      <w:r>
        <w:rPr>
          <w:rFonts w:hint="eastAsia" w:ascii="宋体" w:hAnsi="宋体" w:eastAsia="宋体" w:cs="宋体"/>
          <w:sz w:val="24"/>
          <w:szCs w:val="24"/>
          <w:highlight w:val="none"/>
        </w:rPr>
        <w:t>在工作过程中的安全责任。</w:t>
      </w:r>
      <w:r>
        <w:rPr>
          <w:rFonts w:hint="eastAsia" w:ascii="宋体" w:hAnsi="宋体" w:eastAsia="宋体" w:cs="宋体"/>
          <w:sz w:val="24"/>
          <w:szCs w:val="24"/>
          <w:highlight w:val="none"/>
          <w:lang w:val="en-US" w:eastAsia="zh-CN"/>
        </w:rPr>
        <w:t>中标人</w:t>
      </w:r>
      <w:r>
        <w:rPr>
          <w:rFonts w:hint="eastAsia" w:ascii="宋体" w:hAnsi="宋体" w:eastAsia="宋体" w:cs="宋体"/>
          <w:sz w:val="24"/>
          <w:szCs w:val="24"/>
          <w:highlight w:val="none"/>
        </w:rPr>
        <w:t>承担本服务项目的卫生安全责任，如因</w:t>
      </w:r>
      <w:r>
        <w:rPr>
          <w:rFonts w:hint="eastAsia" w:ascii="宋体" w:hAnsi="宋体" w:eastAsia="宋体" w:cs="宋体"/>
          <w:sz w:val="24"/>
          <w:szCs w:val="24"/>
          <w:highlight w:val="none"/>
          <w:lang w:val="en-US" w:eastAsia="zh-CN"/>
        </w:rPr>
        <w:t>中标人</w:t>
      </w:r>
      <w:r>
        <w:rPr>
          <w:rFonts w:hint="eastAsia" w:ascii="宋体" w:hAnsi="宋体" w:eastAsia="宋体" w:cs="宋体"/>
          <w:sz w:val="24"/>
          <w:szCs w:val="24"/>
          <w:highlight w:val="none"/>
        </w:rPr>
        <w:t>原因，出现损害就餐人员身体健康、违反法律规定、影响采购人声誉等重大问题的，</w:t>
      </w:r>
      <w:r>
        <w:rPr>
          <w:rFonts w:hint="eastAsia" w:ascii="宋体" w:hAnsi="宋体" w:eastAsia="宋体" w:cs="宋体"/>
          <w:sz w:val="24"/>
          <w:szCs w:val="24"/>
          <w:highlight w:val="none"/>
          <w:lang w:val="en-US" w:eastAsia="zh-CN"/>
        </w:rPr>
        <w:t>中标人</w:t>
      </w:r>
      <w:r>
        <w:rPr>
          <w:rFonts w:hint="eastAsia" w:ascii="宋体" w:hAnsi="宋体" w:eastAsia="宋体" w:cs="宋体"/>
          <w:sz w:val="24"/>
          <w:szCs w:val="24"/>
          <w:highlight w:val="none"/>
        </w:rPr>
        <w:t>必须承担由此造成的一切责任和经济损失。</w:t>
      </w:r>
    </w:p>
    <w:p w14:paraId="2B450F68">
      <w:pPr>
        <w:keepNext w:val="0"/>
        <w:keepLines w:val="0"/>
        <w:pageBreakBefore w:val="0"/>
        <w:widowControl w:val="0"/>
        <w:kinsoku/>
        <w:wordWrap/>
        <w:overflowPunct/>
        <w:topLinePunct w:val="0"/>
        <w:bidi w:val="0"/>
        <w:snapToGrid/>
        <w:spacing w:line="460" w:lineRule="exact"/>
        <w:rPr>
          <w:rFonts w:hint="eastAsia" w:ascii="宋体" w:hAnsi="宋体" w:eastAsia="宋体" w:cs="宋体"/>
          <w:b/>
          <w:sz w:val="24"/>
          <w:szCs w:val="24"/>
          <w:highlight w:val="none"/>
        </w:rPr>
      </w:pPr>
      <w:bookmarkStart w:id="278" w:name="_Toc7664"/>
      <w:r>
        <w:rPr>
          <w:rFonts w:hint="eastAsia" w:ascii="宋体" w:hAnsi="宋体" w:eastAsia="宋体" w:cs="宋体"/>
          <w:b/>
          <w:sz w:val="24"/>
          <w:szCs w:val="24"/>
          <w:highlight w:val="none"/>
        </w:rPr>
        <w:t>（二）法律规范、条例要求：</w:t>
      </w:r>
      <w:bookmarkEnd w:id="278"/>
    </w:p>
    <w:p w14:paraId="313443BC">
      <w:pPr>
        <w:keepNext w:val="0"/>
        <w:keepLines w:val="0"/>
        <w:pageBreakBefore w:val="0"/>
        <w:widowControl w:val="0"/>
        <w:kinsoku/>
        <w:wordWrap/>
        <w:overflowPunct/>
        <w:topLinePunct w:val="0"/>
        <w:bidi w:val="0"/>
        <w:snapToGrid/>
        <w:spacing w:line="460" w:lineRule="exact"/>
        <w:ind w:firstLine="480" w:firstLineChars="200"/>
        <w:rPr>
          <w:rFonts w:hint="eastAsia" w:ascii="宋体" w:hAnsi="宋体" w:eastAsia="宋体" w:cs="宋体"/>
          <w:bCs/>
          <w:color w:val="000000"/>
          <w:sz w:val="24"/>
          <w:szCs w:val="24"/>
          <w:highlight w:val="none"/>
        </w:rPr>
      </w:pPr>
      <w:r>
        <w:rPr>
          <w:rFonts w:hint="eastAsia" w:ascii="宋体" w:hAnsi="宋体" w:eastAsia="宋体" w:cs="宋体"/>
          <w:sz w:val="24"/>
          <w:szCs w:val="24"/>
          <w:highlight w:val="none"/>
          <w:lang w:val="en-US" w:eastAsia="zh-CN"/>
        </w:rPr>
        <w:t>中标人</w:t>
      </w:r>
      <w:r>
        <w:rPr>
          <w:rFonts w:hint="eastAsia" w:ascii="宋体" w:hAnsi="宋体" w:eastAsia="宋体" w:cs="宋体"/>
          <w:bCs/>
          <w:sz w:val="24"/>
          <w:szCs w:val="24"/>
          <w:highlight w:val="none"/>
        </w:rPr>
        <w:t>在</w:t>
      </w:r>
      <w:r>
        <w:rPr>
          <w:rFonts w:hint="eastAsia" w:ascii="宋体" w:hAnsi="宋体" w:eastAsia="宋体" w:cs="宋体"/>
          <w:sz w:val="24"/>
          <w:szCs w:val="24"/>
          <w:highlight w:val="none"/>
        </w:rPr>
        <w:t>服务</w:t>
      </w:r>
      <w:r>
        <w:rPr>
          <w:rFonts w:hint="eastAsia" w:ascii="宋体" w:hAnsi="宋体" w:eastAsia="宋体" w:cs="宋体"/>
          <w:bCs/>
          <w:sz w:val="24"/>
          <w:szCs w:val="24"/>
          <w:highlight w:val="none"/>
        </w:rPr>
        <w:t>过程中应严格遵守以下法律规范、条例的要求：</w:t>
      </w:r>
      <w:r>
        <w:rPr>
          <w:rFonts w:hint="eastAsia" w:ascii="宋体" w:hAnsi="宋体" w:eastAsia="宋体" w:cs="宋体"/>
          <w:bCs/>
          <w:color w:val="000000"/>
          <w:sz w:val="24"/>
          <w:szCs w:val="24"/>
          <w:highlight w:val="none"/>
        </w:rPr>
        <w:t>《中华人民共和国食品安全法》、《中华人民共和国食品安全法实施条例》、《餐饮服务食品安全操作规范》。</w:t>
      </w:r>
    </w:p>
    <w:p w14:paraId="2A3D379E">
      <w:pPr>
        <w:keepNext w:val="0"/>
        <w:keepLines w:val="0"/>
        <w:pageBreakBefore w:val="0"/>
        <w:widowControl w:val="0"/>
        <w:kinsoku/>
        <w:wordWrap/>
        <w:overflowPunct/>
        <w:topLinePunct w:val="0"/>
        <w:bidi w:val="0"/>
        <w:snapToGrid/>
        <w:spacing w:line="460" w:lineRule="exact"/>
        <w:ind w:firstLine="480" w:firstLineChars="200"/>
        <w:rPr>
          <w:rFonts w:hint="eastAsia" w:ascii="宋体" w:hAnsi="宋体" w:eastAsia="宋体" w:cs="宋体"/>
          <w:bCs/>
          <w:color w:val="000000"/>
          <w:sz w:val="24"/>
          <w:szCs w:val="24"/>
          <w:highlight w:val="none"/>
          <w:lang w:val="zh-CN"/>
        </w:rPr>
      </w:pPr>
      <w:r>
        <w:rPr>
          <w:rFonts w:hint="eastAsia" w:ascii="宋体" w:hAnsi="宋体" w:eastAsia="宋体" w:cs="宋体"/>
          <w:bCs/>
          <w:color w:val="000000"/>
          <w:sz w:val="24"/>
          <w:szCs w:val="24"/>
          <w:highlight w:val="none"/>
          <w:lang w:val="zh-CN"/>
        </w:rPr>
        <w:t>注：①本项目</w:t>
      </w:r>
      <w:r>
        <w:rPr>
          <w:rFonts w:hint="eastAsia" w:ascii="宋体" w:hAnsi="宋体" w:eastAsia="宋体" w:cs="宋体"/>
          <w:bCs/>
          <w:color w:val="000000"/>
          <w:sz w:val="24"/>
          <w:szCs w:val="24"/>
          <w:highlight w:val="none"/>
        </w:rPr>
        <w:t>服务</w:t>
      </w:r>
      <w:r>
        <w:rPr>
          <w:rFonts w:hint="eastAsia" w:ascii="宋体" w:hAnsi="宋体" w:eastAsia="宋体" w:cs="宋体"/>
          <w:bCs/>
          <w:color w:val="000000"/>
          <w:sz w:val="24"/>
          <w:szCs w:val="24"/>
          <w:highlight w:val="none"/>
          <w:lang w:val="zh-CN"/>
        </w:rPr>
        <w:t>需满足上述相关规范和</w:t>
      </w:r>
      <w:r>
        <w:rPr>
          <w:rFonts w:hint="eastAsia" w:ascii="宋体" w:hAnsi="宋体" w:eastAsia="宋体" w:cs="宋体"/>
          <w:bCs/>
          <w:color w:val="000000"/>
          <w:sz w:val="24"/>
          <w:szCs w:val="24"/>
          <w:highlight w:val="none"/>
        </w:rPr>
        <w:t>条例</w:t>
      </w:r>
      <w:r>
        <w:rPr>
          <w:rFonts w:hint="eastAsia" w:ascii="宋体" w:hAnsi="宋体" w:eastAsia="宋体" w:cs="宋体"/>
          <w:bCs/>
          <w:color w:val="000000"/>
          <w:sz w:val="24"/>
          <w:szCs w:val="24"/>
          <w:highlight w:val="none"/>
          <w:lang w:val="zh-CN"/>
        </w:rPr>
        <w:t>，上述</w:t>
      </w:r>
      <w:r>
        <w:rPr>
          <w:rFonts w:hint="eastAsia" w:ascii="宋体" w:hAnsi="宋体" w:eastAsia="宋体" w:cs="宋体"/>
          <w:bCs/>
          <w:color w:val="000000"/>
          <w:sz w:val="24"/>
          <w:szCs w:val="24"/>
          <w:highlight w:val="none"/>
        </w:rPr>
        <w:t>法规、条例</w:t>
      </w:r>
      <w:r>
        <w:rPr>
          <w:rFonts w:hint="eastAsia" w:ascii="宋体" w:hAnsi="宋体" w:eastAsia="宋体" w:cs="宋体"/>
          <w:bCs/>
          <w:color w:val="000000"/>
          <w:sz w:val="24"/>
          <w:szCs w:val="24"/>
          <w:highlight w:val="none"/>
          <w:lang w:val="zh-CN"/>
        </w:rPr>
        <w:t>如</w:t>
      </w:r>
      <w:r>
        <w:rPr>
          <w:rFonts w:hint="eastAsia" w:ascii="宋体" w:hAnsi="宋体" w:eastAsia="宋体" w:cs="宋体"/>
          <w:bCs/>
          <w:color w:val="000000"/>
          <w:sz w:val="24"/>
          <w:szCs w:val="24"/>
          <w:highlight w:val="none"/>
        </w:rPr>
        <w:t>有</w:t>
      </w:r>
      <w:r>
        <w:rPr>
          <w:rFonts w:hint="eastAsia" w:ascii="宋体" w:hAnsi="宋体" w:eastAsia="宋体" w:cs="宋体"/>
          <w:bCs/>
          <w:color w:val="000000"/>
          <w:sz w:val="24"/>
          <w:szCs w:val="24"/>
          <w:highlight w:val="none"/>
          <w:lang w:val="zh-CN"/>
        </w:rPr>
        <w:t>作废或有替代，则以现行的最新规范为准；如内容有重复的，以要求最高的为准。②如遇管理政策调整，按照最新政策执行。</w:t>
      </w:r>
    </w:p>
    <w:p w14:paraId="79DC0A4A">
      <w:pPr>
        <w:keepNext w:val="0"/>
        <w:keepLines w:val="0"/>
        <w:pageBreakBefore w:val="0"/>
        <w:widowControl w:val="0"/>
        <w:kinsoku/>
        <w:wordWrap/>
        <w:overflowPunct/>
        <w:topLinePunct w:val="0"/>
        <w:bidi w:val="0"/>
        <w:snapToGrid/>
        <w:spacing w:line="460" w:lineRule="exact"/>
        <w:rPr>
          <w:rFonts w:hint="eastAsia" w:ascii="宋体" w:hAnsi="宋体" w:eastAsia="宋体" w:cs="宋体"/>
          <w:b/>
          <w:sz w:val="24"/>
          <w:szCs w:val="24"/>
          <w:highlight w:val="none"/>
        </w:rPr>
      </w:pPr>
      <w:bookmarkStart w:id="279" w:name="_Toc30427"/>
      <w:r>
        <w:rPr>
          <w:rFonts w:hint="eastAsia" w:ascii="宋体" w:hAnsi="宋体" w:eastAsia="宋体" w:cs="宋体"/>
          <w:b/>
          <w:sz w:val="24"/>
          <w:szCs w:val="24"/>
          <w:highlight w:val="none"/>
        </w:rPr>
        <w:t>（三）供餐基准要求：</w:t>
      </w:r>
      <w:bookmarkEnd w:id="279"/>
    </w:p>
    <w:p w14:paraId="21D644B0">
      <w:pPr>
        <w:pStyle w:val="43"/>
        <w:keepNext w:val="0"/>
        <w:keepLines w:val="0"/>
        <w:pageBreakBefore w:val="0"/>
        <w:widowControl w:val="0"/>
        <w:kinsoku/>
        <w:wordWrap/>
        <w:overflowPunct/>
        <w:topLinePunct w:val="0"/>
        <w:bidi w:val="0"/>
        <w:snapToGrid/>
        <w:spacing w:line="460" w:lineRule="exact"/>
        <w:ind w:firstLine="482" w:firstLineChars="200"/>
        <w:rPr>
          <w:rFonts w:hint="eastAsia" w:ascii="宋体" w:hAnsi="宋体" w:eastAsia="宋体" w:cs="宋体"/>
          <w:bCs w:val="0"/>
          <w:color w:val="000000"/>
          <w:sz w:val="24"/>
          <w:szCs w:val="24"/>
          <w:highlight w:val="none"/>
          <w:u w:val="none"/>
        </w:rPr>
      </w:pPr>
      <w:r>
        <w:rPr>
          <w:rFonts w:hint="eastAsia" w:ascii="宋体" w:hAnsi="宋体" w:eastAsia="宋体" w:cs="宋体"/>
          <w:bCs w:val="0"/>
          <w:color w:val="000000"/>
          <w:sz w:val="24"/>
          <w:szCs w:val="24"/>
          <w:highlight w:val="none"/>
          <w:u w:val="none"/>
        </w:rPr>
        <w:t>1、职工供餐要求：</w:t>
      </w:r>
    </w:p>
    <w:p w14:paraId="224A6D3F">
      <w:pPr>
        <w:keepNext w:val="0"/>
        <w:keepLines w:val="0"/>
        <w:pageBreakBefore w:val="0"/>
        <w:widowControl w:val="0"/>
        <w:kinsoku/>
        <w:wordWrap/>
        <w:overflowPunct/>
        <w:topLinePunct w:val="0"/>
        <w:bidi w:val="0"/>
        <w:snapToGrid/>
        <w:spacing w:line="460" w:lineRule="exact"/>
        <w:ind w:firstLine="720" w:firstLineChars="300"/>
        <w:rPr>
          <w:rFonts w:hint="eastAsia" w:ascii="宋体" w:hAnsi="宋体" w:eastAsia="宋体" w:cs="宋体"/>
          <w:sz w:val="24"/>
          <w:highlight w:val="none"/>
          <w:lang w:eastAsia="zh-CN"/>
        </w:rPr>
      </w:pPr>
      <w:r>
        <w:rPr>
          <w:rFonts w:hint="eastAsia" w:ascii="宋体" w:hAnsi="宋体" w:eastAsia="宋体" w:cs="宋体"/>
          <w:sz w:val="24"/>
          <w:highlight w:val="none"/>
        </w:rPr>
        <w:t>1.1为医院在职职工提供早、午、晚餐，基准要求如下</w:t>
      </w:r>
      <w:r>
        <w:rPr>
          <w:rFonts w:hint="eastAsia" w:ascii="宋体" w:hAnsi="宋体" w:eastAsia="宋体" w:cs="宋体"/>
          <w:sz w:val="24"/>
          <w:highlight w:val="none"/>
          <w:lang w:eastAsia="zh-CN"/>
        </w:rPr>
        <w:t>：</w:t>
      </w:r>
    </w:p>
    <w:p w14:paraId="01720123">
      <w:pPr>
        <w:keepNext w:val="0"/>
        <w:keepLines w:val="0"/>
        <w:pageBreakBefore w:val="0"/>
        <w:widowControl w:val="0"/>
        <w:kinsoku/>
        <w:wordWrap/>
        <w:overflowPunct/>
        <w:topLinePunct w:val="0"/>
        <w:bidi w:val="0"/>
        <w:snapToGrid/>
        <w:spacing w:line="460" w:lineRule="exact"/>
        <w:ind w:firstLine="720" w:firstLineChars="300"/>
        <w:rPr>
          <w:rFonts w:hint="eastAsia" w:ascii="宋体" w:hAnsi="宋体" w:eastAsia="宋体" w:cs="宋体"/>
          <w:sz w:val="24"/>
          <w:highlight w:val="none"/>
        </w:rPr>
      </w:pPr>
      <w:r>
        <w:rPr>
          <w:rFonts w:hint="eastAsia" w:ascii="宋体" w:hAnsi="宋体" w:eastAsia="宋体" w:cs="宋体"/>
          <w:sz w:val="24"/>
          <w:highlight w:val="none"/>
        </w:rPr>
        <w:t>①早餐内容基准要求：营养粥、油条、豆浆、鸡蛋、包子等。</w:t>
      </w:r>
    </w:p>
    <w:p w14:paraId="250777B6">
      <w:pPr>
        <w:keepNext w:val="0"/>
        <w:keepLines w:val="0"/>
        <w:pageBreakBefore w:val="0"/>
        <w:widowControl w:val="0"/>
        <w:kinsoku/>
        <w:wordWrap/>
        <w:overflowPunct/>
        <w:topLinePunct w:val="0"/>
        <w:bidi w:val="0"/>
        <w:snapToGrid/>
        <w:spacing w:line="460" w:lineRule="exact"/>
        <w:ind w:firstLine="720" w:firstLineChars="300"/>
        <w:rPr>
          <w:rFonts w:hint="eastAsia" w:ascii="宋体" w:hAnsi="宋体" w:eastAsia="宋体" w:cs="宋体"/>
          <w:sz w:val="24"/>
          <w:highlight w:val="none"/>
        </w:rPr>
      </w:pPr>
      <w:r>
        <w:rPr>
          <w:rFonts w:hint="eastAsia" w:ascii="宋体" w:hAnsi="宋体" w:eastAsia="宋体" w:cs="宋体"/>
          <w:sz w:val="24"/>
          <w:highlight w:val="none"/>
        </w:rPr>
        <w:t>②午餐和晚餐采用套餐或自由点餐形式，套餐包括：</w:t>
      </w:r>
      <w:r>
        <w:rPr>
          <w:rFonts w:hint="eastAsia" w:ascii="宋体" w:hAnsi="宋体" w:eastAsia="宋体" w:cs="宋体"/>
          <w:sz w:val="24"/>
          <w:highlight w:val="none"/>
          <w:lang w:val="en-US" w:eastAsia="zh-CN"/>
        </w:rPr>
        <w:t>两大荤两素的套餐（12元/餐）</w:t>
      </w:r>
      <w:r>
        <w:rPr>
          <w:rFonts w:hint="eastAsia" w:ascii="宋体" w:hAnsi="宋体" w:eastAsia="宋体" w:cs="宋体"/>
          <w:sz w:val="24"/>
          <w:highlight w:val="none"/>
          <w:lang w:eastAsia="zh-CN"/>
        </w:rPr>
        <w:t>，</w:t>
      </w:r>
      <w:r>
        <w:rPr>
          <w:rFonts w:hint="eastAsia" w:ascii="宋体" w:hAnsi="宋体" w:eastAsia="宋体" w:cs="宋体"/>
          <w:sz w:val="24"/>
          <w:highlight w:val="none"/>
        </w:rPr>
        <w:t>一大荤一小荤两素菜</w:t>
      </w:r>
      <w:r>
        <w:rPr>
          <w:rFonts w:hint="eastAsia" w:ascii="宋体" w:hAnsi="宋体" w:eastAsia="宋体" w:cs="宋体"/>
          <w:sz w:val="24"/>
          <w:highlight w:val="none"/>
          <w:lang w:val="en-US" w:eastAsia="zh-CN"/>
        </w:rPr>
        <w:t>的套餐（10元/餐）</w:t>
      </w:r>
      <w:r>
        <w:rPr>
          <w:rFonts w:hint="eastAsia" w:ascii="宋体" w:hAnsi="宋体" w:eastAsia="宋体" w:cs="宋体"/>
          <w:sz w:val="24"/>
          <w:highlight w:val="none"/>
        </w:rPr>
        <w:t>；自由点餐：根据职工自身要求自由配置。</w:t>
      </w:r>
    </w:p>
    <w:p w14:paraId="154A09EE">
      <w:pPr>
        <w:keepNext w:val="0"/>
        <w:keepLines w:val="0"/>
        <w:pageBreakBefore w:val="0"/>
        <w:widowControl w:val="0"/>
        <w:kinsoku/>
        <w:wordWrap/>
        <w:overflowPunct/>
        <w:topLinePunct w:val="0"/>
        <w:bidi w:val="0"/>
        <w:snapToGrid/>
        <w:spacing w:line="460" w:lineRule="exact"/>
        <w:ind w:firstLine="720" w:firstLineChars="300"/>
        <w:rPr>
          <w:rFonts w:hint="eastAsia" w:ascii="宋体" w:hAnsi="宋体" w:eastAsia="宋体" w:cs="宋体"/>
          <w:highlight w:val="none"/>
        </w:rPr>
      </w:pPr>
      <w:r>
        <w:rPr>
          <w:rFonts w:hint="eastAsia" w:ascii="宋体" w:hAnsi="宋体" w:eastAsia="宋体" w:cs="宋体"/>
          <w:sz w:val="24"/>
          <w:highlight w:val="none"/>
        </w:rPr>
        <w:t>1.2供餐时间（基准要求）：早餐：6:30至7:00；午餐：10:30至12:00；晚餐：17:00至17:30。对于非正常就餐时间的临时用餐服务，也应根据实际情况供餐。</w:t>
      </w:r>
    </w:p>
    <w:p w14:paraId="4EB8325B">
      <w:pPr>
        <w:keepNext w:val="0"/>
        <w:keepLines w:val="0"/>
        <w:pageBreakBefore w:val="0"/>
        <w:widowControl w:val="0"/>
        <w:kinsoku/>
        <w:wordWrap/>
        <w:overflowPunct/>
        <w:topLinePunct w:val="0"/>
        <w:bidi w:val="0"/>
        <w:snapToGrid/>
        <w:spacing w:line="460" w:lineRule="exact"/>
        <w:ind w:firstLine="482" w:firstLineChars="200"/>
        <w:rPr>
          <w:rFonts w:hint="eastAsia" w:ascii="宋体" w:hAnsi="宋体" w:eastAsia="宋体" w:cs="宋体"/>
          <w:b/>
          <w:bCs/>
          <w:sz w:val="24"/>
          <w:highlight w:val="none"/>
        </w:rPr>
      </w:pPr>
      <w:r>
        <w:rPr>
          <w:rFonts w:hint="eastAsia" w:ascii="宋体" w:hAnsi="宋体" w:eastAsia="宋体" w:cs="宋体"/>
          <w:b/>
          <w:bCs/>
          <w:sz w:val="24"/>
          <w:highlight w:val="none"/>
        </w:rPr>
        <w:t>2、住院病人及家属供餐要求：</w:t>
      </w:r>
    </w:p>
    <w:p w14:paraId="08947BDA">
      <w:pPr>
        <w:keepNext w:val="0"/>
        <w:keepLines w:val="0"/>
        <w:pageBreakBefore w:val="0"/>
        <w:widowControl w:val="0"/>
        <w:kinsoku/>
        <w:wordWrap/>
        <w:overflowPunct/>
        <w:topLinePunct w:val="0"/>
        <w:autoSpaceDE w:val="0"/>
        <w:autoSpaceDN w:val="0"/>
        <w:bidi w:val="0"/>
        <w:adjustRightInd w:val="0"/>
        <w:snapToGrid/>
        <w:spacing w:line="460" w:lineRule="exact"/>
        <w:ind w:firstLine="482" w:firstLineChars="200"/>
        <w:rPr>
          <w:rFonts w:hint="eastAsia" w:ascii="宋体" w:hAnsi="宋体" w:eastAsia="宋体" w:cs="宋体"/>
          <w:sz w:val="24"/>
          <w:highlight w:val="none"/>
        </w:rPr>
      </w:pPr>
      <w:r>
        <w:rPr>
          <w:rFonts w:hint="eastAsia" w:ascii="宋体" w:hAnsi="宋体" w:eastAsia="宋体" w:cs="宋体"/>
          <w:b/>
          <w:bCs/>
          <w:color w:val="000000"/>
          <w:sz w:val="24"/>
          <w:szCs w:val="24"/>
          <w:highlight w:val="none"/>
        </w:rPr>
        <w:t>★</w:t>
      </w:r>
      <w:r>
        <w:rPr>
          <w:rFonts w:hint="eastAsia" w:ascii="宋体" w:hAnsi="宋体" w:eastAsia="宋体" w:cs="宋体"/>
          <w:b/>
          <w:bCs/>
          <w:sz w:val="24"/>
          <w:highlight w:val="none"/>
        </w:rPr>
        <w:t>2.1为住院病人及陪护家属提供早、午、晚餐及特殊餐，</w:t>
      </w:r>
      <w:r>
        <w:rPr>
          <w:rFonts w:hint="eastAsia" w:ascii="宋体" w:hAnsi="宋体" w:eastAsia="宋体" w:cs="宋体"/>
          <w:b/>
          <w:bCs/>
          <w:sz w:val="24"/>
          <w:szCs w:val="24"/>
          <w:highlight w:val="none"/>
        </w:rPr>
        <w:t>每餐须为住院病人及陪护家属提供现场点餐服务。</w:t>
      </w:r>
    </w:p>
    <w:p w14:paraId="10903609">
      <w:pPr>
        <w:keepNext w:val="0"/>
        <w:keepLines w:val="0"/>
        <w:pageBreakBefore w:val="0"/>
        <w:widowControl w:val="0"/>
        <w:kinsoku/>
        <w:wordWrap/>
        <w:overflowPunct/>
        <w:topLinePunct w:val="0"/>
        <w:bidi w:val="0"/>
        <w:snapToGrid/>
        <w:spacing w:line="460" w:lineRule="exact"/>
        <w:ind w:firstLine="720" w:firstLineChars="300"/>
        <w:rPr>
          <w:rFonts w:hint="eastAsia" w:ascii="宋体" w:hAnsi="宋体" w:eastAsia="宋体" w:cs="宋体"/>
          <w:sz w:val="24"/>
          <w:highlight w:val="none"/>
          <w:lang w:eastAsia="zh-CN"/>
        </w:rPr>
      </w:pPr>
      <w:r>
        <w:rPr>
          <w:rFonts w:hint="eastAsia" w:ascii="宋体" w:hAnsi="宋体" w:eastAsia="宋体" w:cs="宋体"/>
          <w:sz w:val="24"/>
          <w:highlight w:val="none"/>
        </w:rPr>
        <w:t>2.2各餐基准要求如下</w:t>
      </w:r>
      <w:r>
        <w:rPr>
          <w:rFonts w:hint="eastAsia" w:ascii="宋体" w:hAnsi="宋体" w:eastAsia="宋体" w:cs="宋体"/>
          <w:sz w:val="24"/>
          <w:highlight w:val="none"/>
          <w:lang w:eastAsia="zh-CN"/>
        </w:rPr>
        <w:t>：</w:t>
      </w:r>
    </w:p>
    <w:p w14:paraId="6624F947">
      <w:pPr>
        <w:keepNext w:val="0"/>
        <w:keepLines w:val="0"/>
        <w:pageBreakBefore w:val="0"/>
        <w:widowControl w:val="0"/>
        <w:kinsoku/>
        <w:wordWrap/>
        <w:overflowPunct/>
        <w:topLinePunct w:val="0"/>
        <w:bidi w:val="0"/>
        <w:snapToGrid/>
        <w:spacing w:line="460" w:lineRule="exact"/>
        <w:ind w:firstLine="720" w:firstLineChars="300"/>
        <w:rPr>
          <w:rFonts w:hint="eastAsia" w:ascii="宋体" w:hAnsi="宋体" w:eastAsia="宋体" w:cs="宋体"/>
          <w:sz w:val="24"/>
          <w:highlight w:val="none"/>
        </w:rPr>
      </w:pPr>
      <w:r>
        <w:rPr>
          <w:rFonts w:hint="eastAsia" w:ascii="宋体" w:hAnsi="宋体" w:eastAsia="宋体" w:cs="宋体"/>
          <w:sz w:val="24"/>
          <w:highlight w:val="none"/>
        </w:rPr>
        <w:t>①早餐内容基准要求：营养粥、油条、豆浆、鸡蛋、包子等。</w:t>
      </w:r>
    </w:p>
    <w:p w14:paraId="494AF3AC">
      <w:pPr>
        <w:keepNext w:val="0"/>
        <w:keepLines w:val="0"/>
        <w:pageBreakBefore w:val="0"/>
        <w:widowControl w:val="0"/>
        <w:kinsoku/>
        <w:wordWrap/>
        <w:overflowPunct/>
        <w:topLinePunct w:val="0"/>
        <w:bidi w:val="0"/>
        <w:snapToGrid/>
        <w:spacing w:line="460" w:lineRule="exact"/>
        <w:ind w:firstLine="720" w:firstLineChars="300"/>
        <w:rPr>
          <w:rFonts w:hint="eastAsia" w:ascii="宋体" w:hAnsi="宋体" w:eastAsia="宋体" w:cs="宋体"/>
          <w:sz w:val="24"/>
          <w:highlight w:val="none"/>
        </w:rPr>
      </w:pPr>
      <w:r>
        <w:rPr>
          <w:rFonts w:hint="eastAsia" w:ascii="宋体" w:hAnsi="宋体" w:eastAsia="宋体" w:cs="宋体"/>
          <w:sz w:val="24"/>
          <w:highlight w:val="none"/>
        </w:rPr>
        <w:t>②午餐采用套餐形式，包括一大荤一小荤两素菜。</w:t>
      </w:r>
    </w:p>
    <w:p w14:paraId="0592C44C">
      <w:pPr>
        <w:keepNext w:val="0"/>
        <w:keepLines w:val="0"/>
        <w:pageBreakBefore w:val="0"/>
        <w:widowControl w:val="0"/>
        <w:kinsoku/>
        <w:wordWrap/>
        <w:overflowPunct/>
        <w:topLinePunct w:val="0"/>
        <w:bidi w:val="0"/>
        <w:snapToGrid/>
        <w:spacing w:line="460" w:lineRule="exact"/>
        <w:ind w:firstLine="720" w:firstLineChars="300"/>
        <w:rPr>
          <w:rFonts w:hint="eastAsia" w:ascii="宋体" w:hAnsi="宋体" w:eastAsia="宋体" w:cs="宋体"/>
          <w:sz w:val="24"/>
          <w:highlight w:val="none"/>
        </w:rPr>
      </w:pPr>
      <w:r>
        <w:rPr>
          <w:rFonts w:hint="eastAsia" w:ascii="宋体" w:hAnsi="宋体" w:eastAsia="宋体" w:cs="宋体"/>
          <w:sz w:val="24"/>
          <w:highlight w:val="none"/>
        </w:rPr>
        <w:t>③晚餐采用自由点餐形式，包括：小炒、蒸菜、煲汤等类别，根据购餐者自身要求自由配置。</w:t>
      </w:r>
    </w:p>
    <w:p w14:paraId="17C56798">
      <w:pPr>
        <w:keepNext w:val="0"/>
        <w:keepLines w:val="0"/>
        <w:pageBreakBefore w:val="0"/>
        <w:widowControl w:val="0"/>
        <w:kinsoku/>
        <w:wordWrap/>
        <w:overflowPunct/>
        <w:topLinePunct w:val="0"/>
        <w:bidi w:val="0"/>
        <w:snapToGrid/>
        <w:spacing w:line="460" w:lineRule="exact"/>
        <w:ind w:firstLine="720" w:firstLineChars="300"/>
        <w:rPr>
          <w:rFonts w:hint="eastAsia" w:ascii="宋体" w:hAnsi="宋体" w:eastAsia="宋体" w:cs="宋体"/>
          <w:sz w:val="24"/>
          <w:highlight w:val="none"/>
        </w:rPr>
      </w:pPr>
      <w:r>
        <w:rPr>
          <w:rFonts w:hint="eastAsia" w:ascii="宋体" w:hAnsi="宋体" w:eastAsia="宋体" w:cs="宋体"/>
          <w:sz w:val="24"/>
          <w:highlight w:val="none"/>
        </w:rPr>
        <w:t>④特殊餐：根据病人特殊用餐需求提供软质饮食、半流质饮食、流质饮食及治疗饮食。</w:t>
      </w:r>
    </w:p>
    <w:p w14:paraId="2A68A3F6">
      <w:pPr>
        <w:keepNext w:val="0"/>
        <w:keepLines w:val="0"/>
        <w:pageBreakBefore w:val="0"/>
        <w:widowControl w:val="0"/>
        <w:kinsoku/>
        <w:wordWrap/>
        <w:overflowPunct/>
        <w:topLinePunct w:val="0"/>
        <w:bidi w:val="0"/>
        <w:snapToGrid/>
        <w:spacing w:line="460" w:lineRule="exact"/>
        <w:ind w:firstLine="720" w:firstLineChars="300"/>
        <w:rPr>
          <w:rFonts w:hint="eastAsia" w:ascii="宋体" w:hAnsi="宋体" w:eastAsia="宋体" w:cs="宋体"/>
          <w:sz w:val="24"/>
          <w:highlight w:val="none"/>
        </w:rPr>
      </w:pPr>
      <w:r>
        <w:rPr>
          <w:rFonts w:hint="eastAsia" w:ascii="宋体" w:hAnsi="宋体" w:eastAsia="宋体" w:cs="宋体"/>
          <w:sz w:val="24"/>
          <w:highlight w:val="none"/>
        </w:rPr>
        <w:t>2.3供餐时间（基准要求）：早餐：6:30至7:00；午餐：10:30至11:30；晚餐：17:00至17:30。对于非正常就餐时间的临时用餐服务，也应根据实际情况供餐。</w:t>
      </w:r>
    </w:p>
    <w:p w14:paraId="6D559449">
      <w:pPr>
        <w:keepNext w:val="0"/>
        <w:keepLines w:val="0"/>
        <w:pageBreakBefore w:val="0"/>
        <w:widowControl w:val="0"/>
        <w:kinsoku/>
        <w:wordWrap/>
        <w:overflowPunct/>
        <w:topLinePunct w:val="0"/>
        <w:autoSpaceDE w:val="0"/>
        <w:autoSpaceDN w:val="0"/>
        <w:bidi w:val="0"/>
        <w:adjustRightInd w:val="0"/>
        <w:snapToGrid/>
        <w:spacing w:line="460" w:lineRule="exact"/>
        <w:ind w:firstLine="482" w:firstLineChars="200"/>
        <w:rPr>
          <w:rFonts w:hint="eastAsia" w:ascii="宋体" w:hAnsi="宋体" w:eastAsia="宋体" w:cs="宋体"/>
          <w:b/>
          <w:bCs/>
          <w:sz w:val="24"/>
          <w:szCs w:val="24"/>
          <w:highlight w:val="none"/>
        </w:rPr>
      </w:pPr>
      <w:r>
        <w:rPr>
          <w:rFonts w:hint="eastAsia" w:ascii="宋体" w:hAnsi="宋体" w:eastAsia="宋体" w:cs="宋体"/>
          <w:b/>
          <w:bCs/>
          <w:color w:val="000000"/>
          <w:sz w:val="24"/>
          <w:szCs w:val="24"/>
          <w:highlight w:val="none"/>
        </w:rPr>
        <w:t>★</w:t>
      </w:r>
      <w:r>
        <w:rPr>
          <w:rFonts w:hint="eastAsia" w:ascii="宋体" w:hAnsi="宋体" w:eastAsia="宋体" w:cs="宋体"/>
          <w:b/>
          <w:bCs/>
          <w:sz w:val="24"/>
          <w:highlight w:val="none"/>
        </w:rPr>
        <w:t>3、供餐菜肴（单份）份量基准要求：大荤中固形物不低于150g；小荤中固形物不低于120g；素菜中固形物不低于100g。</w:t>
      </w:r>
    </w:p>
    <w:p w14:paraId="72D34942">
      <w:pPr>
        <w:keepNext w:val="0"/>
        <w:keepLines w:val="0"/>
        <w:pageBreakBefore w:val="0"/>
        <w:widowControl w:val="0"/>
        <w:kinsoku/>
        <w:wordWrap/>
        <w:overflowPunct/>
        <w:topLinePunct w:val="0"/>
        <w:bidi w:val="0"/>
        <w:snapToGrid/>
        <w:spacing w:line="460" w:lineRule="exact"/>
        <w:rPr>
          <w:rFonts w:hint="eastAsia" w:ascii="宋体" w:hAnsi="宋体" w:eastAsia="宋体" w:cs="宋体"/>
          <w:b/>
          <w:sz w:val="24"/>
          <w:szCs w:val="24"/>
          <w:highlight w:val="none"/>
        </w:rPr>
      </w:pPr>
      <w:bookmarkStart w:id="280" w:name="_Toc20036"/>
      <w:r>
        <w:rPr>
          <w:rFonts w:hint="eastAsia" w:ascii="宋体" w:hAnsi="宋体" w:eastAsia="宋体" w:cs="宋体"/>
          <w:b/>
          <w:sz w:val="24"/>
          <w:szCs w:val="24"/>
          <w:highlight w:val="none"/>
        </w:rPr>
        <w:t>（四）具体服务要求：</w:t>
      </w:r>
      <w:bookmarkEnd w:id="280"/>
    </w:p>
    <w:p w14:paraId="1EE4FFBA">
      <w:pPr>
        <w:keepNext w:val="0"/>
        <w:keepLines w:val="0"/>
        <w:pageBreakBefore w:val="0"/>
        <w:widowControl w:val="0"/>
        <w:kinsoku/>
        <w:wordWrap/>
        <w:overflowPunct/>
        <w:topLinePunct w:val="0"/>
        <w:bidi w:val="0"/>
        <w:snapToGrid/>
        <w:spacing w:line="460" w:lineRule="exact"/>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1、</w:t>
      </w:r>
      <w:r>
        <w:rPr>
          <w:rFonts w:hint="eastAsia" w:ascii="宋体" w:hAnsi="宋体" w:eastAsia="宋体" w:cs="宋体"/>
          <w:sz w:val="24"/>
          <w:szCs w:val="24"/>
          <w:highlight w:val="none"/>
          <w:lang w:val="en-US" w:eastAsia="zh-CN"/>
        </w:rPr>
        <w:t>中标人</w:t>
      </w:r>
      <w:r>
        <w:rPr>
          <w:rFonts w:hint="eastAsia" w:ascii="宋体" w:hAnsi="宋体" w:eastAsia="宋体" w:cs="宋体"/>
          <w:sz w:val="24"/>
          <w:szCs w:val="24"/>
          <w:highlight w:val="none"/>
        </w:rPr>
        <w:t>应根据采购人要求、用餐者反馈、时令、医生建议等需求合理制定菜谱，每周末将菜谱提供给采购人，经采购人确定后方可确定供餐菜单，如有问题应随时配合采购人进行修改调整。所有供餐菜品价格（如单份套餐价格、单份菜品点餐价格等）由</w:t>
      </w:r>
      <w:r>
        <w:rPr>
          <w:rFonts w:hint="eastAsia" w:ascii="宋体" w:hAnsi="宋体" w:eastAsia="宋体" w:cs="宋体"/>
          <w:sz w:val="24"/>
          <w:szCs w:val="24"/>
          <w:highlight w:val="none"/>
          <w:lang w:val="en-US" w:eastAsia="zh-CN"/>
        </w:rPr>
        <w:t>中标人</w:t>
      </w:r>
      <w:r>
        <w:rPr>
          <w:rFonts w:hint="eastAsia" w:ascii="宋体" w:hAnsi="宋体" w:eastAsia="宋体" w:cs="宋体"/>
          <w:sz w:val="24"/>
          <w:szCs w:val="24"/>
          <w:highlight w:val="none"/>
        </w:rPr>
        <w:t>根据菜品制作加工成本提出合理售价建议，经采购人确定后方可正式标价售卖。菜品售价可定期或不定期根据物价行情修改，但</w:t>
      </w:r>
      <w:r>
        <w:rPr>
          <w:rFonts w:hint="eastAsia" w:ascii="宋体" w:hAnsi="宋体" w:eastAsia="宋体" w:cs="宋体"/>
          <w:sz w:val="24"/>
          <w:szCs w:val="24"/>
          <w:highlight w:val="none"/>
          <w:lang w:val="en-US" w:eastAsia="zh-CN"/>
        </w:rPr>
        <w:t>中标人</w:t>
      </w:r>
      <w:r>
        <w:rPr>
          <w:rFonts w:hint="eastAsia" w:ascii="宋体" w:hAnsi="宋体" w:eastAsia="宋体" w:cs="宋体"/>
          <w:sz w:val="24"/>
          <w:szCs w:val="24"/>
          <w:highlight w:val="none"/>
        </w:rPr>
        <w:t>不得在未经采购人确认的情况下自行修改。</w:t>
      </w:r>
    </w:p>
    <w:p w14:paraId="722EFF52">
      <w:pPr>
        <w:keepNext w:val="0"/>
        <w:keepLines w:val="0"/>
        <w:pageBreakBefore w:val="0"/>
        <w:widowControl w:val="0"/>
        <w:kinsoku/>
        <w:wordWrap/>
        <w:overflowPunct/>
        <w:topLinePunct w:val="0"/>
        <w:bidi w:val="0"/>
        <w:snapToGrid/>
        <w:spacing w:line="460" w:lineRule="exact"/>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2、</w:t>
      </w:r>
      <w:r>
        <w:rPr>
          <w:rFonts w:hint="eastAsia" w:ascii="宋体" w:hAnsi="宋体" w:eastAsia="宋体" w:cs="宋体"/>
          <w:sz w:val="24"/>
          <w:szCs w:val="24"/>
          <w:highlight w:val="none"/>
          <w:lang w:val="en-US" w:eastAsia="zh-CN"/>
        </w:rPr>
        <w:t>中标人</w:t>
      </w:r>
      <w:r>
        <w:rPr>
          <w:rFonts w:hint="eastAsia" w:ascii="宋体" w:hAnsi="宋体" w:eastAsia="宋体" w:cs="宋体"/>
          <w:sz w:val="24"/>
          <w:szCs w:val="24"/>
          <w:highlight w:val="none"/>
        </w:rPr>
        <w:t>需从正规渠道采购肉类、蔬菜、调味料等主副食材，并确保食材新鲜，符合相关国家食品安全标准及规定要求，不购买腐败变质或卫生不合格的食材，严禁供应隔夜饭菜。具体食材质量标准要求如下：</w:t>
      </w:r>
    </w:p>
    <w:p w14:paraId="61185DD5">
      <w:pPr>
        <w:keepNext w:val="0"/>
        <w:keepLines w:val="0"/>
        <w:pageBreakBefore w:val="0"/>
        <w:widowControl w:val="0"/>
        <w:kinsoku/>
        <w:wordWrap/>
        <w:overflowPunct/>
        <w:topLinePunct w:val="0"/>
        <w:bidi w:val="0"/>
        <w:snapToGrid/>
        <w:spacing w:line="460" w:lineRule="exact"/>
        <w:ind w:firstLine="720" w:firstLineChars="300"/>
        <w:rPr>
          <w:rFonts w:hint="eastAsia" w:ascii="宋体" w:hAnsi="宋体" w:eastAsia="宋体" w:cs="宋体"/>
          <w:sz w:val="24"/>
          <w:szCs w:val="24"/>
          <w:highlight w:val="none"/>
        </w:rPr>
      </w:pPr>
      <w:r>
        <w:rPr>
          <w:rFonts w:hint="eastAsia" w:ascii="宋体" w:hAnsi="宋体" w:eastAsia="宋体" w:cs="宋体"/>
          <w:bCs/>
          <w:sz w:val="24"/>
          <w:szCs w:val="24"/>
          <w:highlight w:val="none"/>
        </w:rPr>
        <w:t>2.1</w:t>
      </w:r>
      <w:r>
        <w:rPr>
          <w:rFonts w:hint="eastAsia" w:ascii="宋体" w:hAnsi="宋体" w:eastAsia="宋体" w:cs="宋体"/>
          <w:sz w:val="24"/>
          <w:szCs w:val="24"/>
          <w:highlight w:val="none"/>
        </w:rPr>
        <w:t>肉类质量要求：使用冷鲜肉品牌产品的，质量必须符合GB 9959.1、GB/T 17238等国家标准，供货方应能提供《动物或动物产品分销信息凭证》或《动物检疫合格证》和《肉品品质检验合格证》及其它相关证明材料。采用生猪的，应由规模养殖场提供经农业部门检测、检疫合格的鲜活健康猪源，经定点屠宰厂屠宰加工并检验合格。</w:t>
      </w:r>
    </w:p>
    <w:p w14:paraId="232F7161">
      <w:pPr>
        <w:keepNext w:val="0"/>
        <w:keepLines w:val="0"/>
        <w:pageBreakBefore w:val="0"/>
        <w:widowControl w:val="0"/>
        <w:kinsoku/>
        <w:wordWrap/>
        <w:overflowPunct/>
        <w:topLinePunct w:val="0"/>
        <w:bidi w:val="0"/>
        <w:snapToGrid/>
        <w:spacing w:line="460" w:lineRule="exact"/>
        <w:ind w:firstLine="787" w:firstLineChars="328"/>
        <w:rPr>
          <w:rFonts w:hint="eastAsia" w:ascii="宋体" w:hAnsi="宋体" w:eastAsia="宋体" w:cs="宋体"/>
          <w:sz w:val="24"/>
          <w:szCs w:val="24"/>
          <w:highlight w:val="none"/>
        </w:rPr>
      </w:pPr>
      <w:r>
        <w:rPr>
          <w:rFonts w:hint="eastAsia" w:ascii="宋体" w:hAnsi="宋体" w:eastAsia="宋体" w:cs="宋体"/>
          <w:sz w:val="24"/>
          <w:szCs w:val="24"/>
          <w:highlight w:val="none"/>
        </w:rPr>
        <w:t>2.2水产品质量要求：</w:t>
      </w:r>
    </w:p>
    <w:p w14:paraId="4C427ECB">
      <w:pPr>
        <w:keepNext w:val="0"/>
        <w:keepLines w:val="0"/>
        <w:pageBreakBefore w:val="0"/>
        <w:widowControl w:val="0"/>
        <w:kinsoku/>
        <w:wordWrap/>
        <w:overflowPunct/>
        <w:topLinePunct w:val="0"/>
        <w:bidi w:val="0"/>
        <w:snapToGrid/>
        <w:spacing w:line="460" w:lineRule="exact"/>
        <w:ind w:firstLine="1024" w:firstLineChars="427"/>
        <w:rPr>
          <w:rFonts w:hint="eastAsia" w:ascii="宋体" w:hAnsi="宋体" w:eastAsia="宋体" w:cs="宋体"/>
          <w:sz w:val="24"/>
          <w:szCs w:val="24"/>
          <w:highlight w:val="none"/>
        </w:rPr>
      </w:pPr>
      <w:r>
        <w:rPr>
          <w:rFonts w:hint="eastAsia" w:ascii="宋体" w:hAnsi="宋体" w:eastAsia="宋体" w:cs="宋体"/>
          <w:sz w:val="24"/>
          <w:szCs w:val="24"/>
          <w:highlight w:val="none"/>
        </w:rPr>
        <w:t>2.</w:t>
      </w:r>
      <w:r>
        <w:rPr>
          <w:rFonts w:hint="eastAsia" w:ascii="宋体" w:hAnsi="宋体" w:eastAsia="宋体" w:cs="宋体"/>
          <w:bCs/>
          <w:sz w:val="24"/>
          <w:highlight w:val="none"/>
        </w:rPr>
        <w:t>2.1活鱼类：</w:t>
      </w:r>
      <w:r>
        <w:rPr>
          <w:rFonts w:hint="eastAsia" w:ascii="宋体" w:hAnsi="宋体" w:eastAsia="宋体" w:cs="宋体"/>
          <w:bCs/>
          <w:sz w:val="24"/>
          <w:szCs w:val="22"/>
          <w:highlight w:val="none"/>
        </w:rPr>
        <w:t>必须符合GB 2733-2015《食品安全国家标准 鲜、冻动物性水产品》</w:t>
      </w:r>
      <w:r>
        <w:rPr>
          <w:rFonts w:hint="eastAsia" w:ascii="宋体" w:hAnsi="宋体" w:eastAsia="宋体" w:cs="宋体"/>
          <w:sz w:val="24"/>
          <w:szCs w:val="24"/>
          <w:highlight w:val="none"/>
        </w:rPr>
        <w:t>等标准。产品的感观、安全、卫生、稳定性等指标符合相关规定。</w:t>
      </w:r>
    </w:p>
    <w:p w14:paraId="38AF042A">
      <w:pPr>
        <w:keepNext w:val="0"/>
        <w:keepLines w:val="0"/>
        <w:pageBreakBefore w:val="0"/>
        <w:widowControl w:val="0"/>
        <w:kinsoku/>
        <w:wordWrap/>
        <w:overflowPunct/>
        <w:topLinePunct w:val="0"/>
        <w:bidi w:val="0"/>
        <w:snapToGrid/>
        <w:spacing w:line="460" w:lineRule="exact"/>
        <w:ind w:firstLine="1024" w:firstLineChars="427"/>
        <w:rPr>
          <w:rFonts w:hint="eastAsia" w:ascii="宋体" w:hAnsi="宋体" w:eastAsia="宋体" w:cs="宋体"/>
          <w:bCs/>
          <w:sz w:val="24"/>
          <w:szCs w:val="22"/>
          <w:highlight w:val="none"/>
        </w:rPr>
      </w:pPr>
      <w:r>
        <w:rPr>
          <w:rFonts w:hint="eastAsia" w:ascii="宋体" w:hAnsi="宋体" w:eastAsia="宋体" w:cs="宋体"/>
          <w:sz w:val="24"/>
          <w:szCs w:val="24"/>
          <w:highlight w:val="none"/>
        </w:rPr>
        <w:t>2.2.2</w:t>
      </w:r>
      <w:r>
        <w:rPr>
          <w:rFonts w:hint="eastAsia" w:ascii="宋体" w:hAnsi="宋体" w:eastAsia="宋体" w:cs="宋体"/>
          <w:bCs/>
          <w:sz w:val="24"/>
          <w:szCs w:val="22"/>
          <w:highlight w:val="none"/>
        </w:rPr>
        <w:t>冻鱼类：必须符合GB 2733-2015《食品安全国家标准 鲜、冻动物性水产品》、GB/T 18109-2011《冻鱼》。产品的感观、安全、卫生、稳定性等指标符合相关规定。</w:t>
      </w:r>
    </w:p>
    <w:p w14:paraId="09BF93E2">
      <w:pPr>
        <w:keepNext w:val="0"/>
        <w:keepLines w:val="0"/>
        <w:pageBreakBefore w:val="0"/>
        <w:widowControl w:val="0"/>
        <w:kinsoku/>
        <w:wordWrap/>
        <w:overflowPunct/>
        <w:topLinePunct w:val="0"/>
        <w:bidi w:val="0"/>
        <w:snapToGrid/>
        <w:spacing w:line="460" w:lineRule="exact"/>
        <w:ind w:firstLine="1024" w:firstLineChars="427"/>
        <w:rPr>
          <w:rFonts w:hint="eastAsia" w:ascii="宋体" w:hAnsi="宋体" w:eastAsia="宋体" w:cs="宋体"/>
          <w:bCs/>
          <w:sz w:val="24"/>
          <w:szCs w:val="22"/>
          <w:highlight w:val="none"/>
        </w:rPr>
      </w:pPr>
      <w:r>
        <w:rPr>
          <w:rFonts w:hint="eastAsia" w:ascii="宋体" w:hAnsi="宋体" w:eastAsia="宋体" w:cs="宋体"/>
          <w:sz w:val="24"/>
          <w:szCs w:val="24"/>
          <w:highlight w:val="none"/>
        </w:rPr>
        <w:t>2.</w:t>
      </w:r>
      <w:r>
        <w:rPr>
          <w:rFonts w:hint="eastAsia" w:ascii="宋体" w:hAnsi="宋体" w:eastAsia="宋体" w:cs="宋体"/>
          <w:bCs/>
          <w:sz w:val="24"/>
          <w:szCs w:val="22"/>
          <w:highlight w:val="none"/>
        </w:rPr>
        <w:t>2.3其他：其他水产品符合GB 19643-2016《食品安全国家标准 藻类及其制品》等相关国家标准。</w:t>
      </w:r>
    </w:p>
    <w:p w14:paraId="4B31D85E">
      <w:pPr>
        <w:keepNext w:val="0"/>
        <w:keepLines w:val="0"/>
        <w:pageBreakBefore w:val="0"/>
        <w:widowControl w:val="0"/>
        <w:kinsoku/>
        <w:wordWrap/>
        <w:overflowPunct/>
        <w:topLinePunct w:val="0"/>
        <w:bidi w:val="0"/>
        <w:snapToGrid/>
        <w:spacing w:line="460" w:lineRule="exact"/>
        <w:ind w:firstLine="720" w:firstLineChars="300"/>
        <w:rPr>
          <w:rFonts w:hint="eastAsia" w:ascii="宋体" w:hAnsi="宋体" w:eastAsia="宋体" w:cs="宋体"/>
          <w:sz w:val="24"/>
          <w:szCs w:val="24"/>
          <w:highlight w:val="none"/>
        </w:rPr>
      </w:pPr>
      <w:r>
        <w:rPr>
          <w:rFonts w:hint="eastAsia" w:ascii="宋体" w:hAnsi="宋体" w:eastAsia="宋体" w:cs="宋体"/>
          <w:sz w:val="24"/>
          <w:szCs w:val="24"/>
          <w:highlight w:val="none"/>
        </w:rPr>
        <w:t>2.3禽蛋质量要求：禽蛋必须保证新鲜，无破损，禽蛋等新鲜蛋类必须符合</w:t>
      </w: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HYPERLINK "http://down.foodmate.net/standard/sort/3/48415.html" \t "_blank"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GB 2749-2015《食品安全国家标准 蛋与蛋制品》标准。</w:t>
      </w:r>
      <w:r>
        <w:rPr>
          <w:rFonts w:hint="eastAsia" w:ascii="宋体" w:hAnsi="宋体" w:eastAsia="宋体" w:cs="宋体"/>
          <w:sz w:val="24"/>
          <w:szCs w:val="24"/>
          <w:highlight w:val="none"/>
        </w:rPr>
        <w:fldChar w:fldCharType="end"/>
      </w:r>
      <w:r>
        <w:rPr>
          <w:rFonts w:hint="eastAsia" w:ascii="宋体" w:hAnsi="宋体" w:eastAsia="宋体" w:cs="宋体"/>
          <w:sz w:val="24"/>
          <w:szCs w:val="24"/>
          <w:highlight w:val="none"/>
        </w:rPr>
        <w:t>禽类质量要求：必须符合GB 2707-2016食品安全标准《鲜（冻）畜、禽产品》、GB 16869-2005《鲜、冻禽产品》标准，提供《动物或动物产品分销信息凭证》或《动物检疫合格证》。</w:t>
      </w:r>
    </w:p>
    <w:p w14:paraId="0FB24C01">
      <w:pPr>
        <w:keepNext w:val="0"/>
        <w:keepLines w:val="0"/>
        <w:pageBreakBefore w:val="0"/>
        <w:widowControl w:val="0"/>
        <w:kinsoku/>
        <w:wordWrap/>
        <w:overflowPunct/>
        <w:topLinePunct w:val="0"/>
        <w:bidi w:val="0"/>
        <w:snapToGrid/>
        <w:spacing w:line="460" w:lineRule="exact"/>
        <w:ind w:firstLine="720" w:firstLineChars="300"/>
        <w:rPr>
          <w:rFonts w:hint="eastAsia" w:ascii="宋体" w:hAnsi="宋体" w:eastAsia="宋体" w:cs="宋体"/>
          <w:sz w:val="24"/>
          <w:szCs w:val="24"/>
          <w:highlight w:val="none"/>
        </w:rPr>
      </w:pPr>
      <w:r>
        <w:rPr>
          <w:rFonts w:hint="eastAsia" w:ascii="宋体" w:hAnsi="宋体" w:eastAsia="宋体" w:cs="宋体"/>
          <w:sz w:val="24"/>
          <w:szCs w:val="24"/>
          <w:highlight w:val="none"/>
        </w:rPr>
        <w:t>2.</w:t>
      </w:r>
      <w:r>
        <w:rPr>
          <w:rFonts w:hint="eastAsia" w:ascii="宋体" w:hAnsi="宋体" w:eastAsia="宋体" w:cs="宋体"/>
          <w:sz w:val="24"/>
          <w:szCs w:val="24"/>
          <w:highlight w:val="none"/>
          <w:lang w:val="en-US" w:eastAsia="zh-CN"/>
        </w:rPr>
        <w:t>4</w:t>
      </w:r>
      <w:r>
        <w:rPr>
          <w:rFonts w:hint="eastAsia" w:ascii="宋体" w:hAnsi="宋体" w:eastAsia="宋体" w:cs="宋体"/>
          <w:sz w:val="24"/>
          <w:szCs w:val="24"/>
          <w:highlight w:val="none"/>
        </w:rPr>
        <w:t>速冻面米制品质量要求：必须保证为有效保质期内产品，必须符合GB 19295-2021《食品安全国家标准速冻面米与调制食品》标准。</w:t>
      </w:r>
    </w:p>
    <w:p w14:paraId="42FAE8B4">
      <w:pPr>
        <w:keepNext w:val="0"/>
        <w:keepLines w:val="0"/>
        <w:pageBreakBefore w:val="0"/>
        <w:widowControl w:val="0"/>
        <w:kinsoku/>
        <w:wordWrap/>
        <w:overflowPunct/>
        <w:topLinePunct w:val="0"/>
        <w:bidi w:val="0"/>
        <w:snapToGrid/>
        <w:spacing w:line="460" w:lineRule="exact"/>
        <w:ind w:firstLine="720" w:firstLineChars="300"/>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2.5</w:t>
      </w:r>
      <w:r>
        <w:rPr>
          <w:rFonts w:hint="eastAsia" w:ascii="宋体" w:hAnsi="宋体" w:eastAsia="宋体" w:cs="宋体"/>
          <w:sz w:val="24"/>
          <w:szCs w:val="24"/>
          <w:highlight w:val="none"/>
        </w:rPr>
        <w:t>蔬菜质量要求：蔬菜必须保证无黄叶、叶面干净无明显泥土。所提供的蔬菜必须保证新鲜、无黄叶、枯死叶、无虫、无杂质、不腐烂变质，对蔬菜中有害物质严格控制在标准规定范围之内，符合相应的有关国家标准要求。</w:t>
      </w:r>
    </w:p>
    <w:p w14:paraId="1FDC0B29">
      <w:pPr>
        <w:keepNext w:val="0"/>
        <w:keepLines w:val="0"/>
        <w:pageBreakBefore w:val="0"/>
        <w:widowControl w:val="0"/>
        <w:kinsoku/>
        <w:wordWrap/>
        <w:overflowPunct/>
        <w:topLinePunct w:val="0"/>
        <w:bidi w:val="0"/>
        <w:snapToGrid/>
        <w:spacing w:line="460" w:lineRule="exact"/>
        <w:ind w:firstLine="720" w:firstLineChars="300"/>
        <w:rPr>
          <w:rFonts w:hint="eastAsia" w:ascii="宋体" w:hAnsi="宋体" w:eastAsia="宋体" w:cs="宋体"/>
          <w:sz w:val="24"/>
          <w:szCs w:val="24"/>
          <w:highlight w:val="none"/>
        </w:rPr>
      </w:pPr>
      <w:r>
        <w:rPr>
          <w:rFonts w:hint="eastAsia" w:ascii="宋体" w:hAnsi="宋体" w:eastAsia="宋体" w:cs="宋体"/>
          <w:sz w:val="24"/>
          <w:szCs w:val="24"/>
          <w:highlight w:val="none"/>
        </w:rPr>
        <w:t>2.</w:t>
      </w:r>
      <w:r>
        <w:rPr>
          <w:rFonts w:hint="eastAsia" w:ascii="宋体" w:hAnsi="宋体" w:eastAsia="宋体" w:cs="宋体"/>
          <w:sz w:val="24"/>
          <w:szCs w:val="24"/>
          <w:highlight w:val="none"/>
          <w:lang w:val="en-US" w:eastAsia="zh-CN"/>
        </w:rPr>
        <w:t>6</w:t>
      </w:r>
      <w:r>
        <w:rPr>
          <w:rFonts w:hint="eastAsia" w:ascii="宋体" w:hAnsi="宋体" w:eastAsia="宋体" w:cs="宋体"/>
          <w:sz w:val="24"/>
          <w:szCs w:val="24"/>
          <w:highlight w:val="none"/>
        </w:rPr>
        <w:t>豆制品质量要求：原料须为非转基因产品，发酵性豆制品必须符合GB 2712-2014《食品安全国家标准豆制品》标准，非发酵豆制品必须符合GB/T 22106-2008标准、GB 2711-2014《食品安全国家标准面筋制品》标准，对豆制品的有关安全健康指标符合国家规定。</w:t>
      </w:r>
    </w:p>
    <w:p w14:paraId="1B0905A7">
      <w:pPr>
        <w:keepNext w:val="0"/>
        <w:keepLines w:val="0"/>
        <w:pageBreakBefore w:val="0"/>
        <w:widowControl w:val="0"/>
        <w:kinsoku/>
        <w:wordWrap/>
        <w:overflowPunct/>
        <w:topLinePunct w:val="0"/>
        <w:bidi w:val="0"/>
        <w:snapToGrid/>
        <w:spacing w:line="460" w:lineRule="exact"/>
        <w:ind w:firstLine="720" w:firstLineChars="300"/>
        <w:rPr>
          <w:rFonts w:hint="eastAsia" w:ascii="宋体" w:hAnsi="宋体" w:eastAsia="宋体" w:cs="宋体"/>
          <w:sz w:val="24"/>
          <w:szCs w:val="24"/>
          <w:highlight w:val="none"/>
        </w:rPr>
      </w:pPr>
      <w:r>
        <w:rPr>
          <w:rFonts w:hint="eastAsia" w:ascii="宋体" w:hAnsi="宋体" w:eastAsia="宋体" w:cs="宋体"/>
          <w:sz w:val="24"/>
          <w:szCs w:val="24"/>
          <w:highlight w:val="none"/>
        </w:rPr>
        <w:t>2.</w:t>
      </w:r>
      <w:r>
        <w:rPr>
          <w:rFonts w:hint="eastAsia" w:ascii="宋体" w:hAnsi="宋体" w:eastAsia="宋体" w:cs="宋体"/>
          <w:sz w:val="24"/>
          <w:szCs w:val="24"/>
          <w:highlight w:val="none"/>
          <w:lang w:val="en-US" w:eastAsia="zh-CN"/>
        </w:rPr>
        <w:t>7</w:t>
      </w:r>
      <w:r>
        <w:rPr>
          <w:rFonts w:hint="eastAsia" w:ascii="宋体" w:hAnsi="宋体" w:eastAsia="宋体" w:cs="宋体"/>
          <w:sz w:val="24"/>
          <w:szCs w:val="24"/>
          <w:highlight w:val="none"/>
        </w:rPr>
        <w:t>水果质量要求：须为非转基因产品，个头均匀，无斑点，无破损，果实成熟新鲜，对水果中有害物质严格控制在标准规定范围之内，符合相应的有关国家标准要求。</w:t>
      </w:r>
    </w:p>
    <w:p w14:paraId="237736AB">
      <w:pPr>
        <w:keepNext w:val="0"/>
        <w:keepLines w:val="0"/>
        <w:pageBreakBefore w:val="0"/>
        <w:widowControl w:val="0"/>
        <w:kinsoku/>
        <w:wordWrap/>
        <w:overflowPunct/>
        <w:topLinePunct w:val="0"/>
        <w:bidi w:val="0"/>
        <w:snapToGrid/>
        <w:spacing w:line="460" w:lineRule="exact"/>
        <w:ind w:firstLine="720" w:firstLineChars="300"/>
        <w:rPr>
          <w:rFonts w:hint="eastAsia" w:ascii="宋体" w:hAnsi="宋体" w:eastAsia="宋体" w:cs="宋体"/>
          <w:sz w:val="24"/>
          <w:szCs w:val="24"/>
          <w:highlight w:val="none"/>
        </w:rPr>
      </w:pPr>
      <w:r>
        <w:rPr>
          <w:rFonts w:hint="eastAsia" w:ascii="宋体" w:hAnsi="宋体" w:eastAsia="宋体" w:cs="宋体"/>
          <w:sz w:val="24"/>
          <w:szCs w:val="24"/>
          <w:highlight w:val="none"/>
        </w:rPr>
        <w:t>2.</w:t>
      </w:r>
      <w:r>
        <w:rPr>
          <w:rFonts w:hint="eastAsia" w:ascii="宋体" w:hAnsi="宋体" w:eastAsia="宋体" w:cs="宋体"/>
          <w:sz w:val="24"/>
          <w:szCs w:val="24"/>
          <w:highlight w:val="none"/>
          <w:lang w:val="en-US" w:eastAsia="zh-CN"/>
        </w:rPr>
        <w:t>8</w:t>
      </w:r>
      <w:r>
        <w:rPr>
          <w:rFonts w:hint="eastAsia" w:ascii="宋体" w:hAnsi="宋体" w:eastAsia="宋体" w:cs="宋体"/>
          <w:sz w:val="24"/>
          <w:szCs w:val="24"/>
          <w:highlight w:val="none"/>
        </w:rPr>
        <w:t>调味品（含食盐）质量要求：酱油符合GB 18186-2000《酿造酱油》标准，味精符合GB 2720-2015《食品安全国家标准 味精》标准，生粉（淀粉制品）符合GB 2713-2015、GB 31637-2016《食品安全国家标准 食用淀粉》标准，食糖符合GB 13104-2014标准，酿造食醋符合GB 18187-2000标准，海藻鲜味盐符合GB/T 5461-2016《食用盐》及GB 2721-2015《食品安全国家标准食用盐》标准要求，天然海盐符合GB/T 5461-2016《食用盐》及GB 2721-2015《食品安全国家标准食用盐》标准要求。</w:t>
      </w:r>
    </w:p>
    <w:p w14:paraId="02CAEBDB">
      <w:pPr>
        <w:keepNext w:val="0"/>
        <w:keepLines w:val="0"/>
        <w:pageBreakBefore w:val="0"/>
        <w:widowControl w:val="0"/>
        <w:kinsoku/>
        <w:wordWrap/>
        <w:overflowPunct/>
        <w:topLinePunct w:val="0"/>
        <w:bidi w:val="0"/>
        <w:snapToGrid/>
        <w:spacing w:line="460" w:lineRule="exact"/>
        <w:ind w:firstLine="720" w:firstLineChars="300"/>
        <w:rPr>
          <w:rFonts w:hint="eastAsia" w:ascii="宋体" w:hAnsi="宋体" w:eastAsia="宋体" w:cs="宋体"/>
          <w:sz w:val="24"/>
          <w:szCs w:val="24"/>
          <w:highlight w:val="none"/>
        </w:rPr>
      </w:pPr>
      <w:r>
        <w:rPr>
          <w:rFonts w:hint="eastAsia" w:ascii="宋体" w:hAnsi="宋体" w:eastAsia="宋体" w:cs="宋体"/>
          <w:sz w:val="24"/>
          <w:szCs w:val="24"/>
          <w:highlight w:val="none"/>
        </w:rPr>
        <w:t>2.</w:t>
      </w:r>
      <w:r>
        <w:rPr>
          <w:rFonts w:hint="eastAsia" w:ascii="宋体" w:hAnsi="宋体" w:eastAsia="宋体" w:cs="宋体"/>
          <w:sz w:val="24"/>
          <w:szCs w:val="24"/>
          <w:highlight w:val="none"/>
          <w:lang w:val="en-US" w:eastAsia="zh-CN"/>
        </w:rPr>
        <w:t>9</w:t>
      </w:r>
      <w:r>
        <w:rPr>
          <w:rFonts w:hint="eastAsia" w:ascii="宋体" w:hAnsi="宋体" w:eastAsia="宋体" w:cs="宋体"/>
          <w:sz w:val="24"/>
          <w:szCs w:val="24"/>
          <w:highlight w:val="none"/>
        </w:rPr>
        <w:t>南北干货质量要求：应符合相关的国家或行业食品安全标准。需要分包装的产品需使用符合卫生标准的包装袋，并规定要求加贴产品信息标签。</w:t>
      </w:r>
    </w:p>
    <w:p w14:paraId="442FE919">
      <w:pPr>
        <w:keepNext w:val="0"/>
        <w:keepLines w:val="0"/>
        <w:pageBreakBefore w:val="0"/>
        <w:widowControl w:val="0"/>
        <w:kinsoku/>
        <w:wordWrap/>
        <w:overflowPunct/>
        <w:topLinePunct w:val="0"/>
        <w:bidi w:val="0"/>
        <w:snapToGrid/>
        <w:spacing w:line="460" w:lineRule="exact"/>
        <w:ind w:firstLine="720" w:firstLineChars="300"/>
        <w:rPr>
          <w:rFonts w:hint="eastAsia" w:ascii="宋体" w:hAnsi="宋体" w:eastAsia="宋体" w:cs="宋体"/>
          <w:sz w:val="24"/>
          <w:szCs w:val="24"/>
          <w:highlight w:val="none"/>
        </w:rPr>
      </w:pPr>
      <w:r>
        <w:rPr>
          <w:rFonts w:hint="eastAsia" w:ascii="宋体" w:hAnsi="宋体" w:eastAsia="宋体" w:cs="宋体"/>
          <w:sz w:val="24"/>
          <w:szCs w:val="24"/>
          <w:highlight w:val="none"/>
        </w:rPr>
        <w:t>2.</w:t>
      </w:r>
      <w:r>
        <w:rPr>
          <w:rFonts w:hint="eastAsia" w:ascii="宋体" w:hAnsi="宋体" w:eastAsia="宋体" w:cs="宋体"/>
          <w:sz w:val="24"/>
          <w:szCs w:val="24"/>
          <w:highlight w:val="none"/>
          <w:lang w:val="en-US" w:eastAsia="zh-CN"/>
        </w:rPr>
        <w:t>10</w:t>
      </w:r>
      <w:r>
        <w:rPr>
          <w:rFonts w:hint="eastAsia" w:ascii="宋体" w:hAnsi="宋体" w:eastAsia="宋体" w:cs="宋体"/>
          <w:sz w:val="24"/>
          <w:szCs w:val="24"/>
          <w:highlight w:val="none"/>
        </w:rPr>
        <w:t>食用油质量要求：非转基因食用油，必须符合GB 2716-2018《食品安全国家标准 植物油》标准。</w:t>
      </w:r>
    </w:p>
    <w:p w14:paraId="57BB4AE1">
      <w:pPr>
        <w:keepNext w:val="0"/>
        <w:keepLines w:val="0"/>
        <w:pageBreakBefore w:val="0"/>
        <w:widowControl w:val="0"/>
        <w:kinsoku/>
        <w:wordWrap/>
        <w:overflowPunct/>
        <w:topLinePunct w:val="0"/>
        <w:bidi w:val="0"/>
        <w:snapToGrid/>
        <w:spacing w:line="460" w:lineRule="exact"/>
        <w:ind w:firstLine="720" w:firstLineChars="300"/>
        <w:rPr>
          <w:rFonts w:hint="eastAsia" w:ascii="宋体" w:hAnsi="宋体" w:eastAsia="宋体" w:cs="宋体"/>
          <w:sz w:val="24"/>
          <w:szCs w:val="24"/>
          <w:highlight w:val="none"/>
        </w:rPr>
      </w:pPr>
      <w:r>
        <w:rPr>
          <w:rFonts w:hint="eastAsia" w:ascii="宋体" w:hAnsi="宋体" w:eastAsia="宋体" w:cs="宋体"/>
          <w:sz w:val="24"/>
          <w:szCs w:val="24"/>
          <w:highlight w:val="none"/>
        </w:rPr>
        <w:t>2.1</w:t>
      </w:r>
      <w:r>
        <w:rPr>
          <w:rFonts w:hint="eastAsia" w:ascii="宋体" w:hAnsi="宋体" w:eastAsia="宋体" w:cs="宋体"/>
          <w:sz w:val="24"/>
          <w:szCs w:val="24"/>
          <w:highlight w:val="none"/>
          <w:lang w:val="en-US" w:eastAsia="zh-CN"/>
        </w:rPr>
        <w:t>1</w:t>
      </w:r>
      <w:r>
        <w:rPr>
          <w:rFonts w:hint="eastAsia" w:ascii="宋体" w:hAnsi="宋体" w:eastAsia="宋体" w:cs="宋体"/>
          <w:sz w:val="24"/>
          <w:szCs w:val="24"/>
          <w:highlight w:val="none"/>
        </w:rPr>
        <w:t>大米质量要求：一年内新大米，符合GB/T 1354-2018《大米》、GB 2715-2016《食品安全国家标准 粮食》标准。</w:t>
      </w:r>
    </w:p>
    <w:p w14:paraId="435ADE2B">
      <w:pPr>
        <w:keepNext w:val="0"/>
        <w:keepLines w:val="0"/>
        <w:pageBreakBefore w:val="0"/>
        <w:widowControl w:val="0"/>
        <w:kinsoku/>
        <w:wordWrap/>
        <w:overflowPunct/>
        <w:topLinePunct w:val="0"/>
        <w:bidi w:val="0"/>
        <w:snapToGrid/>
        <w:spacing w:line="460" w:lineRule="exact"/>
        <w:ind w:firstLine="720" w:firstLineChars="300"/>
        <w:rPr>
          <w:rFonts w:hint="eastAsia" w:ascii="宋体" w:hAnsi="宋体" w:eastAsia="宋体" w:cs="宋体"/>
          <w:sz w:val="24"/>
          <w:szCs w:val="24"/>
          <w:highlight w:val="none"/>
        </w:rPr>
      </w:pPr>
      <w:r>
        <w:rPr>
          <w:rFonts w:hint="eastAsia" w:ascii="宋体" w:hAnsi="宋体" w:eastAsia="宋体" w:cs="宋体"/>
          <w:sz w:val="24"/>
          <w:szCs w:val="24"/>
          <w:highlight w:val="none"/>
        </w:rPr>
        <w:t>2.1</w:t>
      </w:r>
      <w:r>
        <w:rPr>
          <w:rFonts w:hint="eastAsia" w:ascii="宋体" w:hAnsi="宋体" w:eastAsia="宋体" w:cs="宋体"/>
          <w:sz w:val="24"/>
          <w:szCs w:val="24"/>
          <w:highlight w:val="none"/>
          <w:lang w:val="en-US" w:eastAsia="zh-CN"/>
        </w:rPr>
        <w:t>2</w:t>
      </w:r>
      <w:r>
        <w:rPr>
          <w:rFonts w:hint="eastAsia" w:ascii="宋体" w:hAnsi="宋体" w:eastAsia="宋体" w:cs="宋体"/>
          <w:sz w:val="24"/>
          <w:szCs w:val="24"/>
          <w:highlight w:val="none"/>
        </w:rPr>
        <w:t>面粉质量要求：外包装完好，标明商品名称、净含量、生产商、产地、产品标准号、质量等级、生产许可证号、产品批号、生产日期、保质期，所有商品须具有《产品质量检验报告》和《出厂检验报告》。须新鲜、色泽呈现乳白或微黄色、手感细腻、颗粒均匀、有自然浓郁的麦香味、手抓后自然流出、松开手后不成团。</w:t>
      </w:r>
    </w:p>
    <w:p w14:paraId="4532F4DD">
      <w:pPr>
        <w:keepNext w:val="0"/>
        <w:keepLines w:val="0"/>
        <w:pageBreakBefore w:val="0"/>
        <w:widowControl w:val="0"/>
        <w:kinsoku/>
        <w:wordWrap/>
        <w:overflowPunct/>
        <w:topLinePunct w:val="0"/>
        <w:bidi w:val="0"/>
        <w:snapToGrid/>
        <w:spacing w:line="460" w:lineRule="exact"/>
        <w:ind w:firstLine="720" w:firstLineChars="300"/>
        <w:rPr>
          <w:rFonts w:hint="eastAsia" w:ascii="宋体" w:hAnsi="宋体" w:eastAsia="宋体" w:cs="宋体"/>
          <w:sz w:val="24"/>
          <w:szCs w:val="24"/>
          <w:highlight w:val="none"/>
        </w:rPr>
      </w:pPr>
      <w:r>
        <w:rPr>
          <w:rFonts w:hint="eastAsia" w:ascii="宋体" w:hAnsi="宋体" w:eastAsia="宋体" w:cs="宋体"/>
          <w:sz w:val="24"/>
          <w:szCs w:val="24"/>
          <w:highlight w:val="none"/>
        </w:rPr>
        <w:t>2.1</w:t>
      </w:r>
      <w:r>
        <w:rPr>
          <w:rFonts w:hint="eastAsia" w:ascii="宋体" w:hAnsi="宋体" w:eastAsia="宋体" w:cs="宋体"/>
          <w:sz w:val="24"/>
          <w:szCs w:val="24"/>
          <w:highlight w:val="none"/>
          <w:lang w:val="en-US" w:eastAsia="zh-CN"/>
        </w:rPr>
        <w:t>3</w:t>
      </w:r>
      <w:r>
        <w:rPr>
          <w:rFonts w:hint="eastAsia" w:ascii="宋体" w:hAnsi="宋体" w:eastAsia="宋体" w:cs="宋体"/>
          <w:sz w:val="24"/>
          <w:szCs w:val="24"/>
          <w:highlight w:val="none"/>
        </w:rPr>
        <w:t>米面制品质量要求：面条、饺子皮、馄饨皮等面制成品符合食品安全国家标准。面条、饺子皮、馄饨皮等面制成品的生产加工企业须具有相关生产许可证件。</w:t>
      </w:r>
    </w:p>
    <w:p w14:paraId="4F0D159B">
      <w:pPr>
        <w:keepNext w:val="0"/>
        <w:keepLines w:val="0"/>
        <w:pageBreakBefore w:val="0"/>
        <w:widowControl w:val="0"/>
        <w:kinsoku/>
        <w:wordWrap/>
        <w:overflowPunct/>
        <w:topLinePunct w:val="0"/>
        <w:bidi w:val="0"/>
        <w:snapToGrid/>
        <w:spacing w:line="460" w:lineRule="exact"/>
        <w:ind w:firstLine="723" w:firstLineChars="300"/>
        <w:rPr>
          <w:rFonts w:hint="eastAsia" w:ascii="宋体" w:hAnsi="宋体" w:eastAsia="宋体" w:cs="宋体"/>
          <w:sz w:val="24"/>
          <w:szCs w:val="24"/>
          <w:highlight w:val="none"/>
        </w:rPr>
      </w:pPr>
      <w:r>
        <w:rPr>
          <w:rFonts w:hint="eastAsia" w:ascii="宋体" w:hAnsi="宋体" w:eastAsia="宋体" w:cs="宋体"/>
          <w:b/>
          <w:bCs/>
          <w:sz w:val="24"/>
          <w:szCs w:val="24"/>
          <w:highlight w:val="none"/>
        </w:rPr>
        <w:t>注：以上质量标准如有新的国家或行业标准出台，则以最新标准执行。</w:t>
      </w:r>
    </w:p>
    <w:p w14:paraId="13A9B6D9">
      <w:pPr>
        <w:pStyle w:val="22"/>
        <w:keepNext w:val="0"/>
        <w:keepLines w:val="0"/>
        <w:pageBreakBefore w:val="0"/>
        <w:widowControl w:val="0"/>
        <w:kinsoku/>
        <w:wordWrap/>
        <w:overflowPunct/>
        <w:topLinePunct w:val="0"/>
        <w:bidi w:val="0"/>
        <w:snapToGrid/>
        <w:spacing w:line="460" w:lineRule="exact"/>
        <w:ind w:firstLine="480" w:firstLineChars="200"/>
        <w:rPr>
          <w:rFonts w:hint="eastAsia" w:ascii="宋体" w:hAnsi="宋体" w:eastAsia="宋体" w:cs="宋体"/>
          <w:sz w:val="24"/>
          <w:szCs w:val="24"/>
          <w:highlight w:val="none"/>
        </w:rPr>
      </w:pPr>
      <w:r>
        <w:rPr>
          <w:rFonts w:hint="eastAsia" w:ascii="宋体" w:hAnsi="宋体" w:eastAsia="宋体" w:cs="宋体"/>
          <w:kern w:val="2"/>
          <w:sz w:val="24"/>
          <w:szCs w:val="24"/>
          <w:highlight w:val="none"/>
        </w:rPr>
        <w:t>3、</w:t>
      </w:r>
      <w:r>
        <w:rPr>
          <w:rFonts w:hint="eastAsia" w:ascii="宋体" w:hAnsi="宋体" w:eastAsia="宋体" w:cs="宋体"/>
          <w:sz w:val="24"/>
          <w:szCs w:val="24"/>
          <w:highlight w:val="none"/>
          <w:lang w:val="en-US" w:eastAsia="zh-CN"/>
        </w:rPr>
        <w:t>中标人</w:t>
      </w:r>
      <w:r>
        <w:rPr>
          <w:rFonts w:hint="eastAsia" w:ascii="宋体" w:hAnsi="宋体" w:eastAsia="宋体" w:cs="宋体"/>
          <w:kern w:val="2"/>
          <w:sz w:val="24"/>
          <w:szCs w:val="24"/>
          <w:highlight w:val="none"/>
        </w:rPr>
        <w:t>采购食材前，应事先列出拟采购食材供货商名单、品牌、产地等情况，并索取相应的资质证明及相应的检测报告单（包含动物性及水产品等）。每月将食材供货商的相关资质证明及食材相关</w:t>
      </w:r>
      <w:r>
        <w:rPr>
          <w:rFonts w:hint="eastAsia" w:ascii="宋体" w:hAnsi="宋体" w:eastAsia="宋体" w:cs="宋体"/>
          <w:sz w:val="24"/>
          <w:szCs w:val="24"/>
          <w:highlight w:val="none"/>
          <w:lang w:eastAsia="zh-Hans"/>
        </w:rPr>
        <w:t>检验检疫证明</w:t>
      </w:r>
      <w:r>
        <w:rPr>
          <w:rFonts w:hint="eastAsia" w:ascii="宋体" w:hAnsi="宋体" w:eastAsia="宋体" w:cs="宋体"/>
          <w:sz w:val="24"/>
          <w:szCs w:val="24"/>
          <w:highlight w:val="none"/>
        </w:rPr>
        <w:t>提交</w:t>
      </w:r>
      <w:r>
        <w:rPr>
          <w:rFonts w:hint="eastAsia" w:ascii="宋体" w:hAnsi="宋体" w:eastAsia="宋体" w:cs="宋体"/>
          <w:sz w:val="24"/>
          <w:szCs w:val="24"/>
          <w:highlight w:val="none"/>
          <w:lang w:eastAsia="zh-Hans"/>
        </w:rPr>
        <w:t>给</w:t>
      </w:r>
      <w:r>
        <w:rPr>
          <w:rFonts w:hint="eastAsia" w:ascii="宋体" w:hAnsi="宋体" w:eastAsia="宋体" w:cs="宋体"/>
          <w:sz w:val="24"/>
          <w:szCs w:val="24"/>
          <w:highlight w:val="none"/>
        </w:rPr>
        <w:t>采购人</w:t>
      </w:r>
      <w:r>
        <w:rPr>
          <w:rFonts w:hint="eastAsia" w:ascii="宋体" w:hAnsi="宋体" w:eastAsia="宋体" w:cs="宋体"/>
          <w:sz w:val="24"/>
          <w:szCs w:val="24"/>
          <w:highlight w:val="none"/>
          <w:lang w:eastAsia="zh-Hans"/>
        </w:rPr>
        <w:t>备案</w:t>
      </w:r>
      <w:r>
        <w:rPr>
          <w:rFonts w:hint="eastAsia" w:ascii="宋体" w:hAnsi="宋体" w:eastAsia="宋体" w:cs="宋体"/>
          <w:sz w:val="24"/>
          <w:szCs w:val="24"/>
          <w:highlight w:val="none"/>
        </w:rPr>
        <w:t>，确保食材可溯源</w:t>
      </w:r>
      <w:r>
        <w:rPr>
          <w:rFonts w:hint="eastAsia" w:ascii="宋体" w:hAnsi="宋体" w:eastAsia="宋体" w:cs="宋体"/>
          <w:kern w:val="2"/>
          <w:sz w:val="24"/>
          <w:szCs w:val="24"/>
          <w:highlight w:val="none"/>
        </w:rPr>
        <w:t>。</w:t>
      </w:r>
    </w:p>
    <w:p w14:paraId="4372D8D5">
      <w:pPr>
        <w:keepNext w:val="0"/>
        <w:keepLines w:val="0"/>
        <w:pageBreakBefore w:val="0"/>
        <w:widowControl w:val="0"/>
        <w:kinsoku/>
        <w:wordWrap/>
        <w:overflowPunct/>
        <w:topLinePunct w:val="0"/>
        <w:bidi w:val="0"/>
        <w:snapToGrid/>
        <w:spacing w:line="460" w:lineRule="exact"/>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4、索证要求：所有主副食材采购必须有相应票据及合格证明，并建立索证索票记录（记录留存不少于</w:t>
      </w:r>
      <w:r>
        <w:rPr>
          <w:rFonts w:hint="eastAsia" w:ascii="宋体" w:hAnsi="宋体" w:cs="宋体"/>
          <w:sz w:val="24"/>
          <w:szCs w:val="24"/>
          <w:highlight w:val="none"/>
          <w:lang w:val="en-US" w:eastAsia="zh-CN"/>
        </w:rPr>
        <w:t>2</w:t>
      </w:r>
      <w:r>
        <w:rPr>
          <w:rFonts w:hint="eastAsia" w:ascii="宋体" w:hAnsi="宋体" w:eastAsia="宋体" w:cs="宋体"/>
          <w:sz w:val="24"/>
          <w:szCs w:val="24"/>
          <w:highlight w:val="none"/>
        </w:rPr>
        <w:t>年）。</w:t>
      </w:r>
    </w:p>
    <w:p w14:paraId="05EF9640">
      <w:pPr>
        <w:keepNext w:val="0"/>
        <w:keepLines w:val="0"/>
        <w:pageBreakBefore w:val="0"/>
        <w:widowControl w:val="0"/>
        <w:kinsoku/>
        <w:wordWrap/>
        <w:overflowPunct/>
        <w:topLinePunct w:val="0"/>
        <w:bidi w:val="0"/>
        <w:snapToGrid/>
        <w:spacing w:line="460" w:lineRule="exact"/>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5、烹饪要求：所有食物都应烧熟煮透，尤其是肉、蛋及其制品；蔬菜烹调最大限度保全营养素；调味料齐全且按标准量投放，确保菜肴的色、香、味，符合相应的营养要求，且符合就餐人员的饮食习惯和口味。食品留样：所有食品生、熟均需留样，每类菜肴留样量不少于125克，留样时间不少于</w:t>
      </w:r>
      <w:r>
        <w:rPr>
          <w:rFonts w:hint="eastAsia" w:ascii="宋体" w:hAnsi="宋体" w:cs="宋体"/>
          <w:sz w:val="24"/>
          <w:szCs w:val="24"/>
          <w:highlight w:val="none"/>
          <w:lang w:val="en-US" w:eastAsia="zh-CN"/>
        </w:rPr>
        <w:t>48</w:t>
      </w:r>
      <w:r>
        <w:rPr>
          <w:rFonts w:hint="eastAsia" w:ascii="宋体" w:hAnsi="宋体" w:eastAsia="宋体" w:cs="宋体"/>
          <w:sz w:val="24"/>
          <w:szCs w:val="24"/>
          <w:highlight w:val="none"/>
        </w:rPr>
        <w:t>小时。</w:t>
      </w:r>
    </w:p>
    <w:p w14:paraId="2E8399FC">
      <w:pPr>
        <w:keepNext w:val="0"/>
        <w:keepLines w:val="0"/>
        <w:pageBreakBefore w:val="0"/>
        <w:widowControl w:val="0"/>
        <w:kinsoku/>
        <w:wordWrap/>
        <w:overflowPunct/>
        <w:topLinePunct w:val="0"/>
        <w:bidi w:val="0"/>
        <w:snapToGrid/>
        <w:spacing w:line="460" w:lineRule="exact"/>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6</w:t>
      </w:r>
      <w:r>
        <w:rPr>
          <w:rFonts w:hint="eastAsia" w:ascii="宋体" w:hAnsi="宋体" w:eastAsia="宋体" w:cs="宋体"/>
          <w:sz w:val="24"/>
          <w:szCs w:val="24"/>
          <w:highlight w:val="none"/>
        </w:rPr>
        <w:t>、配餐要求：</w:t>
      </w:r>
    </w:p>
    <w:p w14:paraId="48D38E36">
      <w:pPr>
        <w:keepNext w:val="0"/>
        <w:keepLines w:val="0"/>
        <w:pageBreakBefore w:val="0"/>
        <w:widowControl w:val="0"/>
        <w:kinsoku/>
        <w:wordWrap/>
        <w:overflowPunct/>
        <w:topLinePunct w:val="0"/>
        <w:bidi w:val="0"/>
        <w:snapToGrid/>
        <w:spacing w:line="460" w:lineRule="exact"/>
        <w:ind w:firstLine="720" w:firstLineChars="300"/>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6</w:t>
      </w:r>
      <w:r>
        <w:rPr>
          <w:rFonts w:hint="eastAsia" w:ascii="宋体" w:hAnsi="宋体" w:eastAsia="宋体" w:cs="宋体"/>
          <w:sz w:val="24"/>
          <w:szCs w:val="24"/>
          <w:highlight w:val="none"/>
        </w:rPr>
        <w:t>.1所有菜肴加工制作完成后，应使用洁净且符合</w:t>
      </w:r>
      <w:r>
        <w:rPr>
          <w:rFonts w:hint="eastAsia" w:ascii="宋体" w:hAnsi="宋体" w:cs="宋体"/>
          <w:sz w:val="24"/>
          <w:szCs w:val="24"/>
          <w:highlight w:val="none"/>
          <w:lang w:val="en-US" w:eastAsia="zh-CN"/>
        </w:rPr>
        <w:t>GB4806系列标准的</w:t>
      </w:r>
      <w:r>
        <w:rPr>
          <w:rFonts w:hint="eastAsia" w:ascii="宋体" w:hAnsi="宋体" w:eastAsia="宋体" w:cs="宋体"/>
          <w:sz w:val="24"/>
          <w:szCs w:val="24"/>
          <w:highlight w:val="none"/>
        </w:rPr>
        <w:t>食品接触</w:t>
      </w:r>
      <w:r>
        <w:rPr>
          <w:rFonts w:hint="eastAsia" w:ascii="宋体" w:hAnsi="宋体" w:cs="宋体"/>
          <w:sz w:val="24"/>
          <w:szCs w:val="24"/>
          <w:highlight w:val="none"/>
          <w:lang w:val="en-US" w:eastAsia="zh-CN"/>
        </w:rPr>
        <w:t>级</w:t>
      </w:r>
      <w:r>
        <w:rPr>
          <w:rFonts w:hint="eastAsia" w:ascii="宋体" w:hAnsi="宋体" w:eastAsia="宋体" w:cs="宋体"/>
          <w:sz w:val="24"/>
          <w:szCs w:val="24"/>
          <w:highlight w:val="none"/>
        </w:rPr>
        <w:t>容器盛装。菜肴运输要求如下：</w:t>
      </w:r>
      <w:r>
        <w:rPr>
          <w:rFonts w:hint="eastAsia" w:ascii="宋体" w:hAnsi="宋体" w:eastAsia="宋体" w:cs="宋体"/>
          <w:sz w:val="24"/>
          <w:szCs w:val="24"/>
          <w:highlight w:val="none"/>
          <w:lang w:val="en-US" w:eastAsia="zh-CN"/>
        </w:rPr>
        <w:t>中标人</w:t>
      </w:r>
      <w:r>
        <w:rPr>
          <w:rFonts w:hint="eastAsia" w:ascii="宋体" w:hAnsi="宋体" w:eastAsia="宋体" w:cs="宋体"/>
          <w:sz w:val="24"/>
          <w:szCs w:val="24"/>
          <w:highlight w:val="none"/>
        </w:rPr>
        <w:t>应通过专用配餐运输车辆采取热链方式运输，将菜肴在指定时间前运送至采购人指定供餐地点（整个过程中，必须确保菜肴的食品安全）</w:t>
      </w:r>
      <w:r>
        <w:rPr>
          <w:rFonts w:hint="eastAsia" w:ascii="宋体" w:hAnsi="宋体" w:cs="宋体"/>
          <w:sz w:val="24"/>
          <w:szCs w:val="24"/>
          <w:highlight w:val="none"/>
          <w:lang w:eastAsia="zh-CN"/>
        </w:rPr>
        <w:t>。</w:t>
      </w:r>
      <w:r>
        <w:rPr>
          <w:rFonts w:hint="eastAsia" w:ascii="宋体" w:hAnsi="宋体" w:eastAsia="宋体" w:cs="宋体"/>
          <w:sz w:val="24"/>
          <w:szCs w:val="24"/>
          <w:highlight w:val="none"/>
        </w:rPr>
        <w:t>配备专职配送员并提供健康证证明才能上岗</w:t>
      </w:r>
      <w:r>
        <w:rPr>
          <w:rFonts w:hint="eastAsia" w:ascii="宋体" w:hAnsi="宋体" w:eastAsia="宋体" w:cs="宋体"/>
          <w:sz w:val="24"/>
          <w:szCs w:val="24"/>
          <w:highlight w:val="none"/>
          <w:lang w:eastAsia="zh-CN"/>
        </w:rPr>
        <w:t>。</w:t>
      </w:r>
    </w:p>
    <w:p w14:paraId="2C4E7F01">
      <w:pPr>
        <w:keepNext w:val="0"/>
        <w:keepLines w:val="0"/>
        <w:pageBreakBefore w:val="0"/>
        <w:widowControl w:val="0"/>
        <w:kinsoku/>
        <w:wordWrap/>
        <w:overflowPunct/>
        <w:topLinePunct w:val="0"/>
        <w:bidi w:val="0"/>
        <w:snapToGrid/>
        <w:spacing w:line="460" w:lineRule="exact"/>
        <w:ind w:firstLine="720" w:firstLineChars="300"/>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6</w:t>
      </w:r>
      <w:r>
        <w:rPr>
          <w:rFonts w:hint="eastAsia" w:ascii="宋体" w:hAnsi="宋体" w:eastAsia="宋体" w:cs="宋体"/>
          <w:sz w:val="24"/>
          <w:szCs w:val="24"/>
          <w:highlight w:val="none"/>
        </w:rPr>
        <w:t>.2分餐要求：</w:t>
      </w:r>
      <w:r>
        <w:rPr>
          <w:rFonts w:hint="eastAsia" w:ascii="宋体" w:hAnsi="宋体" w:eastAsia="宋体" w:cs="宋体"/>
          <w:sz w:val="24"/>
          <w:szCs w:val="24"/>
          <w:highlight w:val="none"/>
          <w:lang w:val="en-US" w:eastAsia="zh-CN"/>
        </w:rPr>
        <w:t>中标人</w:t>
      </w:r>
      <w:r>
        <w:rPr>
          <w:rFonts w:hint="eastAsia" w:ascii="宋体" w:hAnsi="宋体" w:eastAsia="宋体" w:cs="宋体"/>
          <w:sz w:val="24"/>
          <w:szCs w:val="24"/>
          <w:highlight w:val="none"/>
        </w:rPr>
        <w:t>根据采购人要求派遣分餐人员，在规定的分餐场所（或指定地点）进行向就餐人员提供分餐服务（或将餐食配送至指定地点）。供餐结束后，</w:t>
      </w:r>
      <w:r>
        <w:rPr>
          <w:rFonts w:hint="eastAsia" w:ascii="宋体" w:hAnsi="宋体" w:eastAsia="宋体" w:cs="宋体"/>
          <w:sz w:val="24"/>
          <w:szCs w:val="24"/>
          <w:highlight w:val="none"/>
          <w:lang w:val="en-US" w:eastAsia="zh-CN"/>
        </w:rPr>
        <w:t>中标人</w:t>
      </w:r>
      <w:r>
        <w:rPr>
          <w:rFonts w:hint="eastAsia" w:ascii="宋体" w:hAnsi="宋体" w:eastAsia="宋体" w:cs="宋体"/>
          <w:sz w:val="24"/>
          <w:szCs w:val="24"/>
          <w:highlight w:val="none"/>
        </w:rPr>
        <w:t>负责菜肴盛装容器（特指可回收）的清洗、消毒等工作。</w:t>
      </w:r>
    </w:p>
    <w:p w14:paraId="433D24E8">
      <w:pPr>
        <w:keepNext w:val="0"/>
        <w:keepLines w:val="0"/>
        <w:pageBreakBefore w:val="0"/>
        <w:widowControl w:val="0"/>
        <w:kinsoku/>
        <w:wordWrap/>
        <w:overflowPunct/>
        <w:topLinePunct w:val="0"/>
        <w:bidi w:val="0"/>
        <w:snapToGrid/>
        <w:spacing w:line="460" w:lineRule="exact"/>
        <w:ind w:firstLine="482" w:firstLineChars="200"/>
        <w:rPr>
          <w:rFonts w:hint="eastAsia" w:ascii="宋体" w:hAnsi="宋体" w:eastAsia="宋体" w:cs="宋体"/>
          <w:b/>
          <w:sz w:val="24"/>
          <w:szCs w:val="24"/>
          <w:highlight w:val="none"/>
        </w:rPr>
      </w:pPr>
      <w:r>
        <w:rPr>
          <w:rFonts w:hint="eastAsia" w:ascii="宋体" w:hAnsi="宋体" w:eastAsia="宋体" w:cs="宋体"/>
          <w:b/>
          <w:sz w:val="24"/>
          <w:szCs w:val="24"/>
          <w:highlight w:val="none"/>
          <w:lang w:val="en-US" w:eastAsia="zh-CN"/>
        </w:rPr>
        <w:t>7</w:t>
      </w:r>
      <w:r>
        <w:rPr>
          <w:rFonts w:hint="eastAsia" w:ascii="宋体" w:hAnsi="宋体" w:eastAsia="宋体" w:cs="宋体"/>
          <w:b/>
          <w:sz w:val="24"/>
          <w:szCs w:val="24"/>
          <w:highlight w:val="none"/>
        </w:rPr>
        <w:t>、服务人员配备</w:t>
      </w:r>
      <w:r>
        <w:rPr>
          <w:rFonts w:hint="eastAsia" w:ascii="宋体" w:hAnsi="宋体" w:eastAsia="宋体" w:cs="宋体"/>
          <w:b/>
          <w:sz w:val="24"/>
          <w:szCs w:val="22"/>
          <w:highlight w:val="none"/>
        </w:rPr>
        <w:t>要求</w:t>
      </w:r>
      <w:r>
        <w:rPr>
          <w:rFonts w:hint="eastAsia" w:ascii="宋体" w:hAnsi="宋体" w:eastAsia="宋体" w:cs="宋体"/>
          <w:b/>
          <w:sz w:val="24"/>
          <w:szCs w:val="24"/>
          <w:highlight w:val="none"/>
        </w:rPr>
        <w:t>：</w:t>
      </w:r>
    </w:p>
    <w:p w14:paraId="58BB4209">
      <w:pPr>
        <w:pStyle w:val="43"/>
        <w:keepNext w:val="0"/>
        <w:keepLines w:val="0"/>
        <w:pageBreakBefore w:val="0"/>
        <w:widowControl w:val="0"/>
        <w:kinsoku/>
        <w:wordWrap/>
        <w:overflowPunct/>
        <w:topLinePunct w:val="0"/>
        <w:bidi w:val="0"/>
        <w:snapToGrid/>
        <w:spacing w:line="460" w:lineRule="exact"/>
        <w:ind w:firstLine="720" w:firstLineChars="300"/>
        <w:rPr>
          <w:rFonts w:hint="eastAsia" w:ascii="宋体" w:hAnsi="宋体" w:eastAsia="宋体" w:cs="宋体"/>
          <w:b w:val="0"/>
          <w:bCs w:val="0"/>
          <w:sz w:val="24"/>
          <w:szCs w:val="24"/>
          <w:highlight w:val="none"/>
          <w:u w:val="none"/>
        </w:rPr>
      </w:pPr>
      <w:r>
        <w:rPr>
          <w:rFonts w:hint="eastAsia" w:ascii="宋体" w:hAnsi="宋体" w:eastAsia="宋体" w:cs="宋体"/>
          <w:b w:val="0"/>
          <w:bCs w:val="0"/>
          <w:sz w:val="24"/>
          <w:szCs w:val="24"/>
          <w:highlight w:val="none"/>
          <w:u w:val="none"/>
          <w:lang w:val="en-US" w:eastAsia="zh-CN"/>
        </w:rPr>
        <w:t>7</w:t>
      </w:r>
      <w:r>
        <w:rPr>
          <w:rFonts w:hint="eastAsia" w:ascii="宋体" w:hAnsi="宋体" w:eastAsia="宋体" w:cs="宋体"/>
          <w:b w:val="0"/>
          <w:bCs w:val="0"/>
          <w:sz w:val="24"/>
          <w:szCs w:val="24"/>
          <w:highlight w:val="none"/>
          <w:u w:val="none"/>
        </w:rPr>
        <w:t>.1</w:t>
      </w:r>
      <w:r>
        <w:rPr>
          <w:rFonts w:hint="eastAsia" w:ascii="宋体" w:hAnsi="宋体" w:eastAsia="宋体" w:cs="宋体"/>
          <w:b w:val="0"/>
          <w:bCs w:val="0"/>
          <w:sz w:val="24"/>
          <w:szCs w:val="24"/>
          <w:highlight w:val="none"/>
          <w:u w:val="none"/>
          <w:lang w:val="en-US" w:eastAsia="zh-CN"/>
        </w:rPr>
        <w:t>中标人</w:t>
      </w:r>
      <w:r>
        <w:rPr>
          <w:rFonts w:hint="eastAsia" w:ascii="宋体" w:hAnsi="宋体" w:eastAsia="宋体" w:cs="宋体"/>
          <w:b w:val="0"/>
          <w:bCs w:val="0"/>
          <w:sz w:val="24"/>
          <w:szCs w:val="24"/>
          <w:highlight w:val="none"/>
          <w:u w:val="none"/>
        </w:rPr>
        <w:t>必须配备足够的服务人力，确保正常供餐。服务人员由</w:t>
      </w:r>
      <w:r>
        <w:rPr>
          <w:rFonts w:hint="eastAsia" w:ascii="宋体" w:hAnsi="宋体" w:eastAsia="宋体" w:cs="宋体"/>
          <w:b w:val="0"/>
          <w:bCs w:val="0"/>
          <w:sz w:val="24"/>
          <w:szCs w:val="24"/>
          <w:highlight w:val="none"/>
          <w:u w:val="none"/>
          <w:lang w:val="en-US" w:eastAsia="zh-CN"/>
        </w:rPr>
        <w:t>中标人</w:t>
      </w:r>
      <w:r>
        <w:rPr>
          <w:rFonts w:hint="eastAsia" w:ascii="宋体" w:hAnsi="宋体" w:eastAsia="宋体" w:cs="宋体"/>
          <w:b w:val="0"/>
          <w:bCs w:val="0"/>
          <w:sz w:val="24"/>
          <w:szCs w:val="24"/>
          <w:highlight w:val="none"/>
          <w:u w:val="none"/>
        </w:rPr>
        <w:t>自行招聘、使用、管理和付酬，与医院无关，但必须符合国家、省及市相关用工规定并办理用工手续。</w:t>
      </w:r>
      <w:r>
        <w:rPr>
          <w:rFonts w:hint="eastAsia" w:ascii="宋体" w:hAnsi="宋体" w:eastAsia="宋体" w:cs="宋体"/>
          <w:b w:val="0"/>
          <w:bCs w:val="0"/>
          <w:sz w:val="24"/>
          <w:szCs w:val="24"/>
          <w:highlight w:val="none"/>
          <w:u w:val="none"/>
          <w:lang w:val="en-US" w:eastAsia="zh-CN"/>
        </w:rPr>
        <w:t>项目实施过程中服务人员不得随意更换，如遇特殊情况需调换，必须征得采购人同意。</w:t>
      </w:r>
      <w:r>
        <w:rPr>
          <w:rFonts w:hint="eastAsia" w:ascii="宋体" w:hAnsi="宋体" w:cs="宋体"/>
          <w:b w:val="0"/>
          <w:bCs w:val="0"/>
          <w:color w:val="000000"/>
          <w:sz w:val="24"/>
          <w:highlight w:val="none"/>
          <w:u w:val="none"/>
          <w:lang w:val="en-US" w:eastAsia="zh-CN"/>
        </w:rPr>
        <w:t>中标人</w:t>
      </w:r>
      <w:r>
        <w:rPr>
          <w:rFonts w:hint="eastAsia" w:ascii="宋体" w:hAnsi="宋体" w:eastAsia="宋体" w:cs="宋体"/>
          <w:b w:val="0"/>
          <w:bCs w:val="0"/>
          <w:color w:val="000000"/>
          <w:sz w:val="24"/>
          <w:highlight w:val="none"/>
          <w:u w:val="none"/>
        </w:rPr>
        <w:t>应当及时响应</w:t>
      </w:r>
      <w:r>
        <w:rPr>
          <w:rFonts w:hint="eastAsia" w:ascii="宋体" w:hAnsi="宋体" w:cs="宋体"/>
          <w:b w:val="0"/>
          <w:bCs w:val="0"/>
          <w:color w:val="000000"/>
          <w:sz w:val="24"/>
          <w:highlight w:val="none"/>
          <w:u w:val="none"/>
          <w:lang w:val="en-US" w:eastAsia="zh-CN"/>
        </w:rPr>
        <w:t>采购人</w:t>
      </w:r>
      <w:r>
        <w:rPr>
          <w:rFonts w:hint="eastAsia" w:ascii="宋体" w:hAnsi="宋体" w:eastAsia="宋体" w:cs="宋体"/>
          <w:b w:val="0"/>
          <w:bCs w:val="0"/>
          <w:color w:val="000000"/>
          <w:sz w:val="24"/>
          <w:highlight w:val="none"/>
          <w:u w:val="none"/>
        </w:rPr>
        <w:t>的服务需求，在</w:t>
      </w:r>
      <w:r>
        <w:rPr>
          <w:rFonts w:hint="eastAsia" w:ascii="宋体" w:hAnsi="宋体" w:cs="宋体"/>
          <w:b w:val="0"/>
          <w:bCs w:val="0"/>
          <w:color w:val="000000"/>
          <w:sz w:val="24"/>
          <w:highlight w:val="none"/>
          <w:u w:val="none"/>
          <w:lang w:val="en-US" w:eastAsia="zh-CN"/>
        </w:rPr>
        <w:t>采购人</w:t>
      </w:r>
      <w:r>
        <w:rPr>
          <w:rFonts w:hint="eastAsia" w:ascii="宋体" w:hAnsi="宋体" w:eastAsia="宋体" w:cs="宋体"/>
          <w:b w:val="0"/>
          <w:bCs w:val="0"/>
          <w:color w:val="000000"/>
          <w:sz w:val="24"/>
          <w:highlight w:val="none"/>
          <w:u w:val="none"/>
        </w:rPr>
        <w:t>提出派</w:t>
      </w:r>
      <w:r>
        <w:rPr>
          <w:rFonts w:hint="eastAsia" w:ascii="宋体" w:hAnsi="宋体" w:cs="宋体"/>
          <w:b w:val="0"/>
          <w:bCs w:val="0"/>
          <w:color w:val="000000"/>
          <w:sz w:val="24"/>
          <w:highlight w:val="none"/>
          <w:u w:val="none"/>
          <w:lang w:val="en-US" w:eastAsia="zh-CN"/>
        </w:rPr>
        <w:t>人</w:t>
      </w:r>
      <w:r>
        <w:rPr>
          <w:rFonts w:hint="eastAsia" w:ascii="宋体" w:hAnsi="宋体" w:eastAsia="宋体" w:cs="宋体"/>
          <w:b w:val="0"/>
          <w:bCs w:val="0"/>
          <w:color w:val="000000"/>
          <w:sz w:val="24"/>
          <w:highlight w:val="none"/>
          <w:u w:val="none"/>
        </w:rPr>
        <w:t>员到场服务时，应当与</w:t>
      </w:r>
      <w:r>
        <w:rPr>
          <w:rFonts w:hint="eastAsia" w:ascii="宋体" w:hAnsi="宋体" w:cs="宋体"/>
          <w:b w:val="0"/>
          <w:bCs w:val="0"/>
          <w:color w:val="000000"/>
          <w:sz w:val="24"/>
          <w:highlight w:val="none"/>
          <w:u w:val="none"/>
          <w:lang w:val="en-US" w:eastAsia="zh-CN"/>
        </w:rPr>
        <w:t>采购人</w:t>
      </w:r>
      <w:r>
        <w:rPr>
          <w:rFonts w:hint="eastAsia" w:ascii="宋体" w:hAnsi="宋体" w:eastAsia="宋体" w:cs="宋体"/>
          <w:b w:val="0"/>
          <w:bCs w:val="0"/>
          <w:color w:val="000000"/>
          <w:sz w:val="24"/>
          <w:highlight w:val="none"/>
          <w:u w:val="none"/>
        </w:rPr>
        <w:t>确定到场时间。</w:t>
      </w:r>
      <w:r>
        <w:rPr>
          <w:rFonts w:hint="eastAsia" w:ascii="宋体" w:hAnsi="宋体" w:cs="宋体"/>
          <w:b w:val="0"/>
          <w:bCs w:val="0"/>
          <w:color w:val="000000"/>
          <w:sz w:val="24"/>
          <w:highlight w:val="none"/>
          <w:u w:val="none"/>
          <w:lang w:val="en-US" w:eastAsia="zh-CN"/>
        </w:rPr>
        <w:t>采购人</w:t>
      </w:r>
      <w:r>
        <w:rPr>
          <w:rFonts w:hint="eastAsia" w:ascii="宋体" w:hAnsi="宋体" w:eastAsia="宋体" w:cs="宋体"/>
          <w:b w:val="0"/>
          <w:bCs w:val="0"/>
          <w:color w:val="000000"/>
          <w:sz w:val="24"/>
          <w:highlight w:val="none"/>
          <w:u w:val="none"/>
        </w:rPr>
        <w:t>紧急服务需求时</w:t>
      </w:r>
      <w:r>
        <w:rPr>
          <w:rFonts w:hint="eastAsia" w:ascii="宋体" w:hAnsi="宋体" w:cs="宋体"/>
          <w:b w:val="0"/>
          <w:bCs w:val="0"/>
          <w:color w:val="000000"/>
          <w:sz w:val="24"/>
          <w:highlight w:val="none"/>
          <w:u w:val="none"/>
          <w:lang w:eastAsia="zh-CN"/>
        </w:rPr>
        <w:t>（</w:t>
      </w:r>
      <w:r>
        <w:rPr>
          <w:rFonts w:hint="eastAsia" w:ascii="宋体" w:hAnsi="宋体" w:cs="宋体"/>
          <w:b w:val="0"/>
          <w:bCs w:val="0"/>
          <w:color w:val="000000"/>
          <w:sz w:val="24"/>
          <w:highlight w:val="none"/>
          <w:u w:val="none"/>
          <w:lang w:val="en-US" w:eastAsia="zh-CN"/>
        </w:rPr>
        <w:t>例如临时烧制</w:t>
      </w:r>
      <w:r>
        <w:rPr>
          <w:rFonts w:hint="eastAsia" w:ascii="宋体" w:hAnsi="宋体" w:cs="宋体"/>
          <w:b w:val="0"/>
          <w:bCs w:val="0"/>
          <w:color w:val="000000"/>
          <w:sz w:val="24"/>
          <w:highlight w:val="none"/>
          <w:u w:val="none"/>
          <w:lang w:eastAsia="zh-CN"/>
        </w:rPr>
        <w:t>）</w:t>
      </w:r>
      <w:r>
        <w:rPr>
          <w:rFonts w:hint="eastAsia" w:ascii="宋体" w:hAnsi="宋体" w:eastAsia="宋体" w:cs="宋体"/>
          <w:b w:val="0"/>
          <w:bCs w:val="0"/>
          <w:color w:val="000000"/>
          <w:sz w:val="24"/>
          <w:highlight w:val="none"/>
          <w:u w:val="none"/>
        </w:rPr>
        <w:t>，</w:t>
      </w:r>
      <w:r>
        <w:rPr>
          <w:rFonts w:hint="eastAsia" w:ascii="宋体" w:hAnsi="宋体" w:cs="宋体"/>
          <w:b w:val="0"/>
          <w:bCs w:val="0"/>
          <w:color w:val="000000"/>
          <w:sz w:val="24"/>
          <w:highlight w:val="none"/>
          <w:u w:val="none"/>
          <w:lang w:val="en-US" w:eastAsia="zh-CN"/>
        </w:rPr>
        <w:t>中标人</w:t>
      </w:r>
      <w:r>
        <w:rPr>
          <w:rFonts w:hint="eastAsia" w:ascii="宋体" w:hAnsi="宋体" w:eastAsia="宋体" w:cs="宋体"/>
          <w:b w:val="0"/>
          <w:bCs w:val="0"/>
          <w:color w:val="000000"/>
          <w:sz w:val="24"/>
          <w:highlight w:val="none"/>
          <w:u w:val="none"/>
        </w:rPr>
        <w:t>应在</w:t>
      </w:r>
      <w:r>
        <w:rPr>
          <w:rFonts w:hint="eastAsia" w:ascii="宋体" w:hAnsi="宋体" w:cs="宋体"/>
          <w:b w:val="0"/>
          <w:bCs w:val="0"/>
          <w:color w:val="000000"/>
          <w:sz w:val="24"/>
          <w:highlight w:val="none"/>
          <w:u w:val="none"/>
          <w:lang w:val="en-US" w:eastAsia="zh-CN"/>
        </w:rPr>
        <w:t>6</w:t>
      </w:r>
      <w:r>
        <w:rPr>
          <w:rFonts w:hint="eastAsia" w:ascii="宋体" w:hAnsi="宋体" w:eastAsia="宋体" w:cs="宋体"/>
          <w:b w:val="0"/>
          <w:bCs w:val="0"/>
          <w:color w:val="000000"/>
          <w:sz w:val="24"/>
          <w:highlight w:val="none"/>
          <w:u w:val="none"/>
        </w:rPr>
        <w:t>0</w:t>
      </w:r>
      <w:r>
        <w:rPr>
          <w:rFonts w:hint="eastAsia" w:ascii="宋体" w:hAnsi="宋体" w:eastAsia="宋体" w:cs="宋体"/>
          <w:b w:val="0"/>
          <w:bCs w:val="0"/>
          <w:color w:val="000000"/>
          <w:sz w:val="24"/>
          <w:highlight w:val="none"/>
          <w:u w:val="none"/>
        </w:rPr>
        <w:t>分钟内派</w:t>
      </w:r>
      <w:r>
        <w:rPr>
          <w:rFonts w:hint="eastAsia" w:ascii="宋体" w:hAnsi="宋体" w:cs="宋体"/>
          <w:b w:val="0"/>
          <w:bCs w:val="0"/>
          <w:color w:val="000000"/>
          <w:sz w:val="24"/>
          <w:highlight w:val="none"/>
          <w:u w:val="none"/>
          <w:lang w:val="en-US" w:eastAsia="zh-CN"/>
        </w:rPr>
        <w:t>人</w:t>
      </w:r>
      <w:r>
        <w:rPr>
          <w:rFonts w:hint="eastAsia" w:ascii="宋体" w:hAnsi="宋体" w:eastAsia="宋体" w:cs="宋体"/>
          <w:b w:val="0"/>
          <w:bCs w:val="0"/>
          <w:color w:val="000000"/>
          <w:sz w:val="24"/>
          <w:highlight w:val="none"/>
          <w:u w:val="none"/>
        </w:rPr>
        <w:t>员到</w:t>
      </w:r>
      <w:bookmarkStart w:id="334" w:name="_GoBack"/>
      <w:bookmarkEnd w:id="334"/>
      <w:r>
        <w:rPr>
          <w:rFonts w:hint="eastAsia" w:ascii="宋体" w:hAnsi="宋体" w:eastAsia="宋体" w:cs="宋体"/>
          <w:b w:val="0"/>
          <w:bCs w:val="0"/>
          <w:color w:val="000000"/>
          <w:sz w:val="24"/>
          <w:highlight w:val="none"/>
          <w:u w:val="none"/>
        </w:rPr>
        <w:t>场。</w:t>
      </w:r>
    </w:p>
    <w:p w14:paraId="71594A19">
      <w:pPr>
        <w:pStyle w:val="43"/>
        <w:keepNext w:val="0"/>
        <w:keepLines w:val="0"/>
        <w:pageBreakBefore w:val="0"/>
        <w:widowControl w:val="0"/>
        <w:kinsoku/>
        <w:wordWrap/>
        <w:overflowPunct/>
        <w:topLinePunct w:val="0"/>
        <w:bidi w:val="0"/>
        <w:snapToGrid/>
        <w:spacing w:line="460" w:lineRule="exact"/>
        <w:ind w:firstLine="720" w:firstLineChars="300"/>
        <w:rPr>
          <w:rFonts w:hint="eastAsia" w:ascii="宋体" w:hAnsi="宋体" w:eastAsia="宋体" w:cs="宋体"/>
          <w:b w:val="0"/>
          <w:bCs w:val="0"/>
          <w:highlight w:val="none"/>
        </w:rPr>
      </w:pPr>
      <w:r>
        <w:rPr>
          <w:rFonts w:hint="eastAsia" w:ascii="宋体" w:hAnsi="宋体" w:eastAsia="宋体" w:cs="宋体"/>
          <w:b w:val="0"/>
          <w:bCs w:val="0"/>
          <w:sz w:val="24"/>
          <w:szCs w:val="24"/>
          <w:highlight w:val="none"/>
          <w:u w:val="none"/>
          <w:lang w:val="en-US" w:eastAsia="zh-CN"/>
        </w:rPr>
        <w:t>7</w:t>
      </w:r>
      <w:r>
        <w:rPr>
          <w:rFonts w:hint="eastAsia" w:ascii="宋体" w:hAnsi="宋体" w:eastAsia="宋体" w:cs="宋体"/>
          <w:b w:val="0"/>
          <w:bCs w:val="0"/>
          <w:sz w:val="24"/>
          <w:szCs w:val="24"/>
          <w:highlight w:val="none"/>
          <w:u w:val="none"/>
        </w:rPr>
        <w:t>.2</w:t>
      </w:r>
      <w:r>
        <w:rPr>
          <w:rFonts w:hint="eastAsia" w:ascii="宋体" w:hAnsi="宋体" w:eastAsia="宋体" w:cs="宋体"/>
          <w:b w:val="0"/>
          <w:bCs w:val="0"/>
          <w:sz w:val="24"/>
          <w:szCs w:val="24"/>
          <w:highlight w:val="none"/>
          <w:u w:val="none"/>
          <w:lang w:val="en-US" w:eastAsia="zh-CN"/>
        </w:rPr>
        <w:t>中标人</w:t>
      </w:r>
      <w:r>
        <w:rPr>
          <w:rFonts w:hint="eastAsia" w:ascii="宋体" w:hAnsi="宋体" w:eastAsia="宋体" w:cs="宋体"/>
          <w:b w:val="0"/>
          <w:bCs w:val="0"/>
          <w:sz w:val="24"/>
          <w:szCs w:val="24"/>
          <w:highlight w:val="none"/>
          <w:u w:val="none"/>
        </w:rPr>
        <w:t>必须为本项目明确1名项目负责人。配备相关工作经验的食品安全人员、食材检测（检验）人员</w:t>
      </w:r>
      <w:r>
        <w:rPr>
          <w:rFonts w:hint="eastAsia" w:ascii="宋体" w:hAnsi="宋体" w:eastAsia="宋体" w:cs="宋体"/>
          <w:b w:val="0"/>
          <w:bCs w:val="0"/>
          <w:sz w:val="24"/>
          <w:szCs w:val="24"/>
          <w:highlight w:val="none"/>
          <w:u w:val="none"/>
          <w:lang w:eastAsia="zh-CN"/>
        </w:rPr>
        <w:t>。</w:t>
      </w:r>
      <w:r>
        <w:rPr>
          <w:rFonts w:hint="eastAsia" w:ascii="宋体" w:hAnsi="宋体" w:eastAsia="宋体" w:cs="宋体"/>
          <w:b w:val="0"/>
          <w:bCs w:val="0"/>
          <w:sz w:val="24"/>
          <w:szCs w:val="24"/>
          <w:highlight w:val="none"/>
          <w:u w:val="none"/>
        </w:rPr>
        <w:t>所有服务人员应确保身体健康（均应具有健康证明），遵纪守法，诚信明礼，无违法犯罪记录，无精神病史，无不良嗜好，无吸毒史等情况，在以往服务中无食品卫生、违纪、违法等不良记录。所有服务人员应注意个人卫生，穿戴清洁的工作衣帽及防护口罩。</w:t>
      </w:r>
    </w:p>
    <w:p w14:paraId="68EC154A">
      <w:pPr>
        <w:keepNext w:val="0"/>
        <w:keepLines w:val="0"/>
        <w:pageBreakBefore w:val="0"/>
        <w:widowControl w:val="0"/>
        <w:kinsoku/>
        <w:wordWrap/>
        <w:overflowPunct/>
        <w:topLinePunct w:val="0"/>
        <w:bidi w:val="0"/>
        <w:snapToGrid/>
        <w:spacing w:line="460" w:lineRule="exact"/>
        <w:rPr>
          <w:rFonts w:hint="eastAsia" w:ascii="宋体" w:hAnsi="宋体" w:eastAsia="宋体" w:cs="宋体"/>
          <w:b/>
          <w:sz w:val="24"/>
          <w:szCs w:val="24"/>
          <w:highlight w:val="none"/>
        </w:rPr>
      </w:pPr>
      <w:bookmarkStart w:id="281" w:name="_Toc13439"/>
      <w:r>
        <w:rPr>
          <w:rFonts w:hint="eastAsia" w:ascii="宋体" w:hAnsi="宋体" w:eastAsia="宋体" w:cs="宋体"/>
          <w:b/>
          <w:sz w:val="24"/>
          <w:szCs w:val="24"/>
          <w:highlight w:val="none"/>
        </w:rPr>
        <w:t>（五）其他要求：</w:t>
      </w:r>
      <w:bookmarkEnd w:id="281"/>
    </w:p>
    <w:p w14:paraId="1CFC5862">
      <w:pPr>
        <w:keepNext w:val="0"/>
        <w:keepLines w:val="0"/>
        <w:pageBreakBefore w:val="0"/>
        <w:widowControl w:val="0"/>
        <w:kinsoku/>
        <w:wordWrap/>
        <w:overflowPunct/>
        <w:topLinePunct w:val="0"/>
        <w:bidi w:val="0"/>
        <w:snapToGrid/>
        <w:spacing w:line="460" w:lineRule="exact"/>
        <w:ind w:firstLine="480" w:firstLineChars="200"/>
        <w:rPr>
          <w:rFonts w:hint="eastAsia" w:ascii="宋体" w:hAnsi="宋体" w:eastAsia="宋体" w:cs="宋体"/>
          <w:highlight w:val="none"/>
        </w:rPr>
      </w:pPr>
      <w:r>
        <w:rPr>
          <w:rFonts w:hint="eastAsia" w:ascii="宋体" w:hAnsi="宋体" w:eastAsia="宋体" w:cs="宋体"/>
          <w:sz w:val="24"/>
          <w:szCs w:val="22"/>
          <w:highlight w:val="none"/>
        </w:rPr>
        <w:t>1、服务质量考核要求：采购人有权检查</w:t>
      </w:r>
      <w:r>
        <w:rPr>
          <w:rFonts w:hint="eastAsia" w:ascii="宋体" w:hAnsi="宋体" w:eastAsia="宋体" w:cs="宋体"/>
          <w:b w:val="0"/>
          <w:bCs w:val="0"/>
          <w:sz w:val="24"/>
          <w:szCs w:val="24"/>
          <w:highlight w:val="none"/>
          <w:u w:val="none"/>
          <w:lang w:val="en-US" w:eastAsia="zh-CN"/>
        </w:rPr>
        <w:t>中标人</w:t>
      </w:r>
      <w:r>
        <w:rPr>
          <w:rFonts w:hint="eastAsia" w:ascii="宋体" w:hAnsi="宋体" w:eastAsia="宋体" w:cs="宋体"/>
          <w:sz w:val="24"/>
          <w:szCs w:val="22"/>
          <w:highlight w:val="none"/>
        </w:rPr>
        <w:t>工作质量情况，对食堂的原材料及食品质量、数量、卫生、服务及加工等环节，服务的质量、态度等进行监督和不定期检查，根据服务考核细则每月对</w:t>
      </w:r>
      <w:r>
        <w:rPr>
          <w:rFonts w:hint="eastAsia" w:ascii="宋体" w:hAnsi="宋体" w:eastAsia="宋体" w:cs="宋体"/>
          <w:b w:val="0"/>
          <w:bCs w:val="0"/>
          <w:sz w:val="24"/>
          <w:szCs w:val="24"/>
          <w:highlight w:val="none"/>
          <w:u w:val="none"/>
          <w:lang w:val="en-US" w:eastAsia="zh-CN"/>
        </w:rPr>
        <w:t>中标人</w:t>
      </w:r>
      <w:r>
        <w:rPr>
          <w:rFonts w:hint="eastAsia" w:ascii="宋体" w:hAnsi="宋体" w:eastAsia="宋体" w:cs="宋体"/>
          <w:sz w:val="24"/>
          <w:szCs w:val="22"/>
          <w:highlight w:val="none"/>
        </w:rPr>
        <w:t>进行考核，并向</w:t>
      </w:r>
      <w:r>
        <w:rPr>
          <w:rFonts w:hint="eastAsia" w:ascii="宋体" w:hAnsi="宋体" w:eastAsia="宋体" w:cs="宋体"/>
          <w:b w:val="0"/>
          <w:bCs w:val="0"/>
          <w:sz w:val="24"/>
          <w:szCs w:val="24"/>
          <w:highlight w:val="none"/>
          <w:u w:val="none"/>
          <w:lang w:val="en-US" w:eastAsia="zh-CN"/>
        </w:rPr>
        <w:t>中标人</w:t>
      </w:r>
      <w:r>
        <w:rPr>
          <w:rFonts w:hint="eastAsia" w:ascii="宋体" w:hAnsi="宋体" w:eastAsia="宋体" w:cs="宋体"/>
          <w:sz w:val="24"/>
          <w:szCs w:val="22"/>
          <w:highlight w:val="none"/>
        </w:rPr>
        <w:t>提出合理的改善建议，</w:t>
      </w:r>
      <w:r>
        <w:rPr>
          <w:rFonts w:hint="eastAsia" w:ascii="宋体" w:hAnsi="宋体" w:eastAsia="宋体" w:cs="宋体"/>
          <w:b w:val="0"/>
          <w:bCs w:val="0"/>
          <w:sz w:val="24"/>
          <w:szCs w:val="24"/>
          <w:highlight w:val="none"/>
          <w:u w:val="none"/>
          <w:lang w:val="en-US" w:eastAsia="zh-CN"/>
        </w:rPr>
        <w:t>中标人</w:t>
      </w:r>
      <w:r>
        <w:rPr>
          <w:rFonts w:hint="eastAsia" w:ascii="宋体" w:hAnsi="宋体" w:eastAsia="宋体" w:cs="宋体"/>
          <w:sz w:val="24"/>
          <w:szCs w:val="22"/>
          <w:highlight w:val="none"/>
        </w:rPr>
        <w:t>应当积极配合和服从。</w:t>
      </w:r>
    </w:p>
    <w:p w14:paraId="00E6B507">
      <w:pPr>
        <w:keepNext w:val="0"/>
        <w:keepLines w:val="0"/>
        <w:pageBreakBefore w:val="0"/>
        <w:widowControl w:val="0"/>
        <w:kinsoku/>
        <w:wordWrap/>
        <w:overflowPunct/>
        <w:topLinePunct w:val="0"/>
        <w:bidi w:val="0"/>
        <w:snapToGrid/>
        <w:spacing w:line="460" w:lineRule="exact"/>
        <w:ind w:firstLine="480" w:firstLineChars="200"/>
        <w:rPr>
          <w:rFonts w:hint="eastAsia" w:ascii="宋体" w:hAnsi="宋体" w:eastAsia="宋体" w:cs="宋体"/>
          <w:sz w:val="24"/>
          <w:szCs w:val="22"/>
          <w:highlight w:val="none"/>
        </w:rPr>
      </w:pPr>
      <w:r>
        <w:rPr>
          <w:rFonts w:hint="eastAsia" w:ascii="宋体" w:hAnsi="宋体" w:eastAsia="宋体" w:cs="宋体"/>
          <w:sz w:val="24"/>
          <w:szCs w:val="22"/>
          <w:highlight w:val="none"/>
        </w:rPr>
        <w:t>2、如</w:t>
      </w:r>
      <w:r>
        <w:rPr>
          <w:rFonts w:hint="eastAsia" w:ascii="宋体" w:hAnsi="宋体" w:eastAsia="宋体" w:cs="宋体"/>
          <w:sz w:val="24"/>
          <w:szCs w:val="24"/>
          <w:highlight w:val="none"/>
          <w:lang w:val="en-US" w:eastAsia="zh-CN"/>
        </w:rPr>
        <w:t>投标人</w:t>
      </w:r>
      <w:r>
        <w:rPr>
          <w:rFonts w:hint="eastAsia" w:ascii="宋体" w:hAnsi="宋体" w:eastAsia="宋体" w:cs="宋体"/>
          <w:sz w:val="24"/>
          <w:szCs w:val="22"/>
          <w:highlight w:val="none"/>
        </w:rPr>
        <w:t>获得</w:t>
      </w:r>
      <w:r>
        <w:rPr>
          <w:rFonts w:hint="eastAsia" w:ascii="宋体" w:hAnsi="宋体" w:eastAsia="宋体" w:cs="宋体"/>
          <w:sz w:val="24"/>
          <w:szCs w:val="22"/>
          <w:highlight w:val="none"/>
          <w:lang w:val="en-US" w:eastAsia="zh-CN"/>
        </w:rPr>
        <w:t>中标</w:t>
      </w:r>
      <w:r>
        <w:rPr>
          <w:rFonts w:hint="eastAsia" w:ascii="宋体" w:hAnsi="宋体" w:eastAsia="宋体" w:cs="宋体"/>
          <w:sz w:val="24"/>
          <w:szCs w:val="22"/>
          <w:highlight w:val="none"/>
        </w:rPr>
        <w:t>，在服务过程中出现下列情形之一，经采购人确认后</w:t>
      </w:r>
      <w:r>
        <w:rPr>
          <w:rFonts w:hint="eastAsia" w:ascii="宋体" w:hAnsi="宋体" w:eastAsia="宋体" w:cs="宋体"/>
          <w:sz w:val="24"/>
          <w:szCs w:val="24"/>
          <w:highlight w:val="none"/>
        </w:rPr>
        <w:t>，采购人有权终止合同</w:t>
      </w:r>
      <w:r>
        <w:rPr>
          <w:rFonts w:hint="eastAsia" w:ascii="宋体" w:hAnsi="宋体" w:eastAsia="宋体" w:cs="宋体"/>
          <w:sz w:val="24"/>
          <w:szCs w:val="22"/>
          <w:highlight w:val="none"/>
        </w:rPr>
        <w:t>。同时，采购人将按相关规定追究</w:t>
      </w:r>
      <w:r>
        <w:rPr>
          <w:rFonts w:hint="eastAsia" w:ascii="宋体" w:hAnsi="宋体" w:eastAsia="宋体" w:cs="宋体"/>
          <w:sz w:val="24"/>
          <w:szCs w:val="24"/>
          <w:highlight w:val="none"/>
          <w:lang w:val="en-US" w:eastAsia="zh-CN"/>
        </w:rPr>
        <w:t>中标人</w:t>
      </w:r>
      <w:r>
        <w:rPr>
          <w:rFonts w:hint="eastAsia" w:ascii="宋体" w:hAnsi="宋体" w:eastAsia="宋体" w:cs="宋体"/>
          <w:sz w:val="24"/>
          <w:szCs w:val="22"/>
          <w:highlight w:val="none"/>
        </w:rPr>
        <w:t>责任，情节严重的造成责任事故的将追究其法律责任。</w:t>
      </w:r>
    </w:p>
    <w:p w14:paraId="32FF4BF2">
      <w:pPr>
        <w:keepNext w:val="0"/>
        <w:keepLines w:val="0"/>
        <w:pageBreakBefore w:val="0"/>
        <w:widowControl w:val="0"/>
        <w:numPr>
          <w:ilvl w:val="0"/>
          <w:numId w:val="0"/>
        </w:numPr>
        <w:kinsoku/>
        <w:wordWrap/>
        <w:overflowPunct/>
        <w:topLinePunct w:val="0"/>
        <w:autoSpaceDE w:val="0"/>
        <w:autoSpaceDN w:val="0"/>
        <w:bidi w:val="0"/>
        <w:adjustRightInd w:val="0"/>
        <w:snapToGrid/>
        <w:spacing w:line="460" w:lineRule="exact"/>
        <w:ind w:firstLine="720" w:firstLineChars="300"/>
        <w:rPr>
          <w:rFonts w:hint="eastAsia" w:ascii="宋体" w:hAnsi="宋体" w:eastAsia="宋体" w:cs="宋体"/>
          <w:sz w:val="24"/>
          <w:szCs w:val="22"/>
          <w:highlight w:val="none"/>
        </w:rPr>
      </w:pPr>
      <w:r>
        <w:rPr>
          <w:rFonts w:hint="eastAsia" w:ascii="宋体" w:hAnsi="宋体" w:eastAsia="宋体" w:cs="宋体"/>
          <w:sz w:val="24"/>
          <w:szCs w:val="22"/>
          <w:highlight w:val="none"/>
        </w:rPr>
        <w:t>2.1情形包括：①因</w:t>
      </w:r>
      <w:r>
        <w:rPr>
          <w:rFonts w:hint="eastAsia" w:ascii="宋体" w:hAnsi="宋体" w:eastAsia="宋体" w:cs="宋体"/>
          <w:b w:val="0"/>
          <w:bCs w:val="0"/>
          <w:sz w:val="24"/>
          <w:szCs w:val="24"/>
          <w:highlight w:val="none"/>
          <w:u w:val="none"/>
          <w:lang w:val="en-US" w:eastAsia="zh-CN"/>
        </w:rPr>
        <w:t>中标人</w:t>
      </w:r>
      <w:r>
        <w:rPr>
          <w:rFonts w:hint="eastAsia" w:ascii="宋体" w:hAnsi="宋体" w:eastAsia="宋体" w:cs="宋体"/>
          <w:sz w:val="24"/>
          <w:szCs w:val="22"/>
          <w:highlight w:val="none"/>
        </w:rPr>
        <w:t>原因引起食品安全事故的。②</w:t>
      </w:r>
      <w:r>
        <w:rPr>
          <w:rFonts w:hint="eastAsia" w:ascii="宋体" w:hAnsi="宋体" w:eastAsia="宋体" w:cs="宋体"/>
          <w:b w:val="0"/>
          <w:bCs w:val="0"/>
          <w:sz w:val="24"/>
          <w:szCs w:val="24"/>
          <w:highlight w:val="none"/>
          <w:u w:val="none"/>
          <w:lang w:val="en-US" w:eastAsia="zh-CN"/>
        </w:rPr>
        <w:t>中标人</w:t>
      </w:r>
      <w:r>
        <w:rPr>
          <w:rFonts w:hint="eastAsia" w:ascii="宋体" w:hAnsi="宋体" w:eastAsia="宋体" w:cs="宋体"/>
          <w:sz w:val="24"/>
          <w:szCs w:val="22"/>
          <w:highlight w:val="none"/>
        </w:rPr>
        <w:t>服务过程中存在严重安全隐患，经相关部门督促整改不到位的。③经查实，</w:t>
      </w:r>
      <w:r>
        <w:rPr>
          <w:rFonts w:hint="eastAsia" w:ascii="宋体" w:hAnsi="宋体" w:eastAsia="宋体" w:cs="宋体"/>
          <w:b w:val="0"/>
          <w:bCs w:val="0"/>
          <w:sz w:val="24"/>
          <w:szCs w:val="24"/>
          <w:highlight w:val="none"/>
          <w:u w:val="none"/>
          <w:lang w:val="en-US" w:eastAsia="zh-CN"/>
        </w:rPr>
        <w:t>中标人</w:t>
      </w:r>
      <w:r>
        <w:rPr>
          <w:rFonts w:hint="eastAsia" w:ascii="宋体" w:hAnsi="宋体" w:eastAsia="宋体" w:cs="宋体"/>
          <w:sz w:val="24"/>
          <w:szCs w:val="22"/>
          <w:highlight w:val="none"/>
        </w:rPr>
        <w:t>将部分服务分包或转包给他人或其他单位。④有关职能部门对</w:t>
      </w:r>
      <w:r>
        <w:rPr>
          <w:rFonts w:hint="eastAsia" w:ascii="宋体" w:hAnsi="宋体" w:eastAsia="宋体" w:cs="宋体"/>
          <w:b w:val="0"/>
          <w:bCs w:val="0"/>
          <w:sz w:val="24"/>
          <w:szCs w:val="24"/>
          <w:highlight w:val="none"/>
          <w:u w:val="none"/>
          <w:lang w:val="en-US" w:eastAsia="zh-CN"/>
        </w:rPr>
        <w:t>中标人</w:t>
      </w:r>
      <w:r>
        <w:rPr>
          <w:rFonts w:hint="eastAsia" w:ascii="宋体" w:hAnsi="宋体" w:eastAsia="宋体" w:cs="宋体"/>
          <w:sz w:val="24"/>
          <w:szCs w:val="22"/>
          <w:highlight w:val="none"/>
        </w:rPr>
        <w:t>食品安全量化等级认定达不到良好（或同等级别）的。⑤一年之内违反《食品安全法》行为被处以两次及以上责令改正，警告或较重罚款或责令停产停业的或吊销许可证或构成犯罪移送司法机构的。⑥</w:t>
      </w:r>
      <w:r>
        <w:rPr>
          <w:rFonts w:hint="eastAsia" w:ascii="宋体" w:hAnsi="宋体" w:eastAsia="宋体" w:cs="宋体"/>
          <w:b w:val="0"/>
          <w:bCs w:val="0"/>
          <w:sz w:val="24"/>
          <w:szCs w:val="24"/>
          <w:highlight w:val="none"/>
          <w:u w:val="none"/>
          <w:lang w:val="en-US" w:eastAsia="zh-CN"/>
        </w:rPr>
        <w:t>中标人</w:t>
      </w:r>
      <w:r>
        <w:rPr>
          <w:rFonts w:hint="eastAsia" w:ascii="宋体" w:hAnsi="宋体" w:eastAsia="宋体" w:cs="宋体"/>
          <w:sz w:val="24"/>
          <w:szCs w:val="22"/>
          <w:highlight w:val="none"/>
        </w:rPr>
        <w:t>或法定代表人被列入失信名单的。⑦拒绝、阻挠有关部门检查或暴力抗法的。⑧</w:t>
      </w:r>
      <w:r>
        <w:rPr>
          <w:rFonts w:hint="eastAsia" w:ascii="宋体" w:hAnsi="宋体" w:eastAsia="宋体" w:cs="宋体"/>
          <w:b w:val="0"/>
          <w:bCs w:val="0"/>
          <w:sz w:val="24"/>
          <w:szCs w:val="24"/>
          <w:highlight w:val="none"/>
          <w:u w:val="none"/>
          <w:lang w:val="en-US" w:eastAsia="zh-CN"/>
        </w:rPr>
        <w:t>中标人</w:t>
      </w:r>
      <w:r>
        <w:rPr>
          <w:rFonts w:hint="eastAsia" w:ascii="宋体" w:hAnsi="宋体" w:eastAsia="宋体" w:cs="宋体"/>
          <w:sz w:val="24"/>
          <w:szCs w:val="22"/>
          <w:highlight w:val="none"/>
        </w:rPr>
        <w:t>未履行</w:t>
      </w:r>
      <w:r>
        <w:rPr>
          <w:rFonts w:hint="eastAsia" w:ascii="宋体" w:hAnsi="宋体" w:cs="宋体"/>
          <w:sz w:val="24"/>
          <w:szCs w:val="22"/>
          <w:highlight w:val="none"/>
          <w:lang w:val="en-US" w:eastAsia="zh-CN"/>
        </w:rPr>
        <w:t>投标</w:t>
      </w:r>
      <w:r>
        <w:rPr>
          <w:rFonts w:hint="eastAsia" w:ascii="宋体" w:hAnsi="宋体" w:eastAsia="宋体" w:cs="宋体"/>
          <w:sz w:val="24"/>
          <w:szCs w:val="22"/>
          <w:highlight w:val="none"/>
        </w:rPr>
        <w:t>报价时的一切承诺的。</w:t>
      </w:r>
      <w:bookmarkStart w:id="282" w:name="_Toc485977967"/>
      <w:bookmarkStart w:id="283" w:name="_Toc485992633"/>
    </w:p>
    <w:p w14:paraId="6E280C1D">
      <w:pPr>
        <w:keepNext w:val="0"/>
        <w:keepLines w:val="0"/>
        <w:pageBreakBefore w:val="0"/>
        <w:widowControl w:val="0"/>
        <w:kinsoku/>
        <w:wordWrap/>
        <w:overflowPunct/>
        <w:topLinePunct w:val="0"/>
        <w:autoSpaceDE w:val="0"/>
        <w:autoSpaceDN w:val="0"/>
        <w:bidi w:val="0"/>
        <w:adjustRightInd w:val="0"/>
        <w:snapToGrid/>
        <w:spacing w:line="460" w:lineRule="exact"/>
        <w:ind w:firstLine="480" w:firstLineChars="200"/>
        <w:rPr>
          <w:rFonts w:hint="eastAsia" w:ascii="宋体" w:hAnsi="宋体" w:eastAsia="宋体" w:cs="宋体"/>
          <w:color w:val="auto"/>
          <w:sz w:val="24"/>
          <w:szCs w:val="24"/>
          <w:highlight w:val="none"/>
          <w:lang w:val="en-US" w:eastAsia="zh-CN"/>
        </w:rPr>
      </w:pPr>
    </w:p>
    <w:p w14:paraId="1CBC5766">
      <w:pPr>
        <w:keepNext w:val="0"/>
        <w:keepLines w:val="0"/>
        <w:pageBreakBefore w:val="0"/>
        <w:widowControl w:val="0"/>
        <w:numPr>
          <w:ilvl w:val="0"/>
          <w:numId w:val="0"/>
        </w:numPr>
        <w:kinsoku/>
        <w:wordWrap/>
        <w:overflowPunct/>
        <w:topLinePunct w:val="0"/>
        <w:bidi w:val="0"/>
        <w:snapToGrid/>
        <w:spacing w:line="460" w:lineRule="exact"/>
        <w:rPr>
          <w:rFonts w:hint="eastAsia" w:ascii="宋体" w:hAnsi="宋体" w:eastAsia="宋体" w:cs="宋体"/>
          <w:b/>
          <w:bCs/>
          <w:color w:val="auto"/>
          <w:sz w:val="28"/>
          <w:szCs w:val="28"/>
          <w:highlight w:val="none"/>
        </w:rPr>
      </w:pPr>
      <w:r>
        <w:rPr>
          <w:rFonts w:hint="eastAsia" w:ascii="宋体" w:hAnsi="宋体" w:eastAsia="宋体" w:cs="宋体"/>
          <w:b/>
          <w:bCs/>
          <w:color w:val="auto"/>
          <w:kern w:val="2"/>
          <w:sz w:val="28"/>
          <w:szCs w:val="28"/>
          <w:highlight w:val="none"/>
          <w:lang w:val="en-US" w:eastAsia="zh-CN" w:bidi="ar-SA"/>
        </w:rPr>
        <w:t>三、</w:t>
      </w:r>
      <w:r>
        <w:rPr>
          <w:rFonts w:hint="eastAsia" w:ascii="宋体" w:hAnsi="宋体" w:eastAsia="宋体" w:cs="宋体"/>
          <w:b/>
          <w:bCs/>
          <w:color w:val="auto"/>
          <w:sz w:val="28"/>
          <w:szCs w:val="28"/>
          <w:highlight w:val="none"/>
        </w:rPr>
        <w:t>投标报价要求：</w:t>
      </w:r>
    </w:p>
    <w:p w14:paraId="34592F93">
      <w:pPr>
        <w:keepNext w:val="0"/>
        <w:keepLines w:val="0"/>
        <w:pageBreakBefore w:val="0"/>
        <w:widowControl w:val="0"/>
        <w:numPr>
          <w:ilvl w:val="0"/>
          <w:numId w:val="0"/>
        </w:numPr>
        <w:kinsoku/>
        <w:wordWrap/>
        <w:overflowPunct/>
        <w:topLinePunct w:val="0"/>
        <w:bidi w:val="0"/>
        <w:snapToGrid/>
        <w:spacing w:line="460" w:lineRule="exact"/>
        <w:ind w:firstLine="480" w:firstLineChars="200"/>
        <w:rPr>
          <w:rFonts w:hint="eastAsia" w:ascii="宋体" w:hAnsi="宋体" w:eastAsia="宋体" w:cs="宋体"/>
          <w:color w:val="auto"/>
          <w:sz w:val="24"/>
          <w:szCs w:val="24"/>
          <w:highlight w:val="none"/>
          <w:lang w:val="en-US" w:eastAsia="zh-CN"/>
        </w:rPr>
      </w:pPr>
      <w:r>
        <w:rPr>
          <w:rFonts w:hint="eastAsia" w:ascii="宋体" w:hAnsi="宋体" w:eastAsia="宋体" w:cs="宋体"/>
          <w:color w:val="auto"/>
          <w:kern w:val="2"/>
          <w:sz w:val="24"/>
          <w:szCs w:val="24"/>
          <w:highlight w:val="none"/>
          <w:lang w:val="en-US" w:eastAsia="zh-CN" w:bidi="ar-SA"/>
        </w:rPr>
        <w:t>1、</w:t>
      </w:r>
      <w:r>
        <w:rPr>
          <w:rFonts w:hint="eastAsia" w:ascii="宋体" w:hAnsi="宋体" w:eastAsia="宋体" w:cs="宋体"/>
          <w:color w:val="auto"/>
          <w:sz w:val="24"/>
          <w:szCs w:val="24"/>
          <w:highlight w:val="none"/>
        </w:rPr>
        <w:t>投标人须对本项目中要求的所有服务进行投报，不得拆开投报或只投其中的部分内容，否则作无效投标处理。</w:t>
      </w:r>
    </w:p>
    <w:p w14:paraId="0416146E">
      <w:pPr>
        <w:keepNext w:val="0"/>
        <w:keepLines w:val="0"/>
        <w:pageBreakBefore w:val="0"/>
        <w:widowControl w:val="0"/>
        <w:kinsoku/>
        <w:wordWrap/>
        <w:overflowPunct/>
        <w:topLinePunct w:val="0"/>
        <w:bidi w:val="0"/>
        <w:snapToGrid/>
        <w:spacing w:line="46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w:t>
      </w:r>
      <w:r>
        <w:rPr>
          <w:rFonts w:hint="eastAsia" w:ascii="宋体" w:hAnsi="宋体" w:eastAsia="宋体" w:cs="宋体"/>
          <w:b w:val="0"/>
          <w:bCs w:val="0"/>
          <w:color w:val="000000"/>
          <w:sz w:val="24"/>
          <w:szCs w:val="24"/>
          <w:highlight w:val="none"/>
          <w:u w:val="none"/>
        </w:rPr>
        <w:t>服务费用</w:t>
      </w:r>
      <w:r>
        <w:rPr>
          <w:rFonts w:hint="eastAsia" w:ascii="宋体" w:hAnsi="宋体" w:eastAsia="宋体" w:cs="宋体"/>
          <w:b w:val="0"/>
          <w:bCs w:val="0"/>
          <w:sz w:val="24"/>
          <w:szCs w:val="22"/>
          <w:highlight w:val="none"/>
          <w:u w:val="none"/>
        </w:rPr>
        <w:t>包括服务期限内完成该项目工作所需的所有费用，包括主副食材费、食材加工费、人工费（包括人员工资、福利费、加班费、社会保险费用、人身意外伤害险等）、设备工具费、</w:t>
      </w:r>
      <w:r>
        <w:rPr>
          <w:rFonts w:hint="eastAsia" w:ascii="宋体" w:hAnsi="宋体" w:eastAsia="宋体" w:cs="宋体"/>
          <w:sz w:val="24"/>
          <w:szCs w:val="22"/>
          <w:highlight w:val="none"/>
          <w:u w:val="none"/>
        </w:rPr>
        <w:t>分餐间设施设备维护维修费（如有）、分餐间水电费（如有）、</w:t>
      </w:r>
      <w:r>
        <w:rPr>
          <w:rFonts w:hint="eastAsia" w:ascii="宋体" w:hAnsi="宋体" w:eastAsia="宋体" w:cs="宋体"/>
          <w:b w:val="0"/>
          <w:bCs w:val="0"/>
          <w:sz w:val="24"/>
          <w:szCs w:val="22"/>
          <w:highlight w:val="none"/>
          <w:u w:val="none"/>
        </w:rPr>
        <w:t>风险费、利润、税费及政策性文件规定和合同所包含的所有风险、责任等各项应有费用（项目实施过程中采购人负责事项除外）</w:t>
      </w:r>
      <w:r>
        <w:rPr>
          <w:rFonts w:hint="eastAsia" w:ascii="宋体" w:hAnsi="宋体" w:eastAsia="宋体" w:cs="宋体"/>
          <w:color w:val="auto"/>
          <w:sz w:val="24"/>
          <w:szCs w:val="24"/>
          <w:highlight w:val="none"/>
        </w:rPr>
        <w:t>。</w:t>
      </w:r>
    </w:p>
    <w:p w14:paraId="30905D2C">
      <w:pPr>
        <w:keepNext w:val="0"/>
        <w:keepLines w:val="0"/>
        <w:pageBreakBefore w:val="0"/>
        <w:widowControl w:val="0"/>
        <w:kinsoku/>
        <w:wordWrap/>
        <w:overflowPunct/>
        <w:topLinePunct w:val="0"/>
        <w:bidi w:val="0"/>
        <w:snapToGrid/>
        <w:spacing w:line="460" w:lineRule="exact"/>
        <w:ind w:firstLine="482" w:firstLineChars="200"/>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lang w:val="en-US" w:eastAsia="zh-CN"/>
        </w:rPr>
        <w:t>3</w:t>
      </w:r>
      <w:r>
        <w:rPr>
          <w:rFonts w:hint="eastAsia" w:ascii="宋体" w:hAnsi="宋体" w:eastAsia="宋体" w:cs="宋体"/>
          <w:b/>
          <w:bCs/>
          <w:color w:val="auto"/>
          <w:sz w:val="24"/>
          <w:szCs w:val="24"/>
          <w:highlight w:val="none"/>
        </w:rPr>
        <w:t>、</w:t>
      </w:r>
      <w:r>
        <w:rPr>
          <w:rFonts w:hint="eastAsia" w:ascii="宋体" w:hAnsi="宋体" w:eastAsia="宋体" w:cs="宋体"/>
          <w:b/>
          <w:bCs/>
          <w:color w:val="auto"/>
          <w:sz w:val="24"/>
          <w:highlight w:val="none"/>
        </w:rPr>
        <w:t>请投标人根据自身经验，充分考虑本项目的潜在风险，并自行承担由此而产生的一切费用，采购人不因项目不可预见的情况而支付任何费用</w:t>
      </w:r>
      <w:r>
        <w:rPr>
          <w:rFonts w:hint="eastAsia" w:ascii="宋体" w:hAnsi="宋体" w:eastAsia="宋体" w:cs="宋体"/>
          <w:color w:val="auto"/>
          <w:sz w:val="24"/>
          <w:szCs w:val="24"/>
          <w:highlight w:val="none"/>
        </w:rPr>
        <w:t>。</w:t>
      </w:r>
    </w:p>
    <w:p w14:paraId="7099D0D7">
      <w:pPr>
        <w:keepNext w:val="0"/>
        <w:keepLines w:val="0"/>
        <w:pageBreakBefore w:val="0"/>
        <w:widowControl w:val="0"/>
        <w:kinsoku/>
        <w:wordWrap/>
        <w:overflowPunct/>
        <w:topLinePunct w:val="0"/>
        <w:bidi w:val="0"/>
        <w:snapToGrid/>
        <w:spacing w:line="46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2"/>
          <w:highlight w:val="none"/>
        </w:rPr>
        <w:t>投标人在投标报价时应考虑各种风险因素，</w:t>
      </w:r>
      <w:r>
        <w:rPr>
          <w:rFonts w:hint="eastAsia" w:ascii="宋体" w:hAnsi="宋体" w:eastAsia="宋体" w:cs="宋体"/>
          <w:color w:val="auto"/>
          <w:kern w:val="0"/>
          <w:sz w:val="24"/>
          <w:szCs w:val="24"/>
          <w:highlight w:val="none"/>
        </w:rPr>
        <w:t>并自行承担由此而产生的一切费用，</w:t>
      </w:r>
      <w:r>
        <w:rPr>
          <w:rFonts w:hint="eastAsia" w:ascii="宋体" w:hAnsi="宋体" w:eastAsia="宋体" w:cs="宋体"/>
          <w:color w:val="auto"/>
          <w:sz w:val="24"/>
          <w:szCs w:val="22"/>
          <w:highlight w:val="none"/>
        </w:rPr>
        <w:t>相关风险因素费用包含在投标总价中。</w:t>
      </w:r>
      <w:r>
        <w:rPr>
          <w:rFonts w:hint="eastAsia" w:ascii="宋体" w:hAnsi="宋体" w:eastAsia="宋体" w:cs="宋体"/>
          <w:color w:val="auto"/>
          <w:sz w:val="24"/>
          <w:highlight w:val="none"/>
        </w:rPr>
        <w:t>风险因素包括不可抗力、遇重大检查、突发情况、最低工资调整、社保调整、公积金调整、物价调整、税费调整等</w:t>
      </w:r>
      <w:r>
        <w:rPr>
          <w:rFonts w:hint="eastAsia" w:ascii="宋体" w:hAnsi="宋体" w:eastAsia="宋体" w:cs="宋体"/>
          <w:color w:val="auto"/>
          <w:sz w:val="24"/>
          <w:szCs w:val="24"/>
          <w:highlight w:val="none"/>
        </w:rPr>
        <w:t>。</w:t>
      </w:r>
    </w:p>
    <w:bookmarkEnd w:id="282"/>
    <w:bookmarkEnd w:id="283"/>
    <w:p w14:paraId="63F63DBF">
      <w:pPr>
        <w:keepNext w:val="0"/>
        <w:keepLines w:val="0"/>
        <w:pageBreakBefore w:val="0"/>
        <w:widowControl w:val="0"/>
        <w:kinsoku/>
        <w:wordWrap/>
        <w:overflowPunct/>
        <w:topLinePunct w:val="0"/>
        <w:bidi w:val="0"/>
        <w:snapToGrid/>
        <w:spacing w:line="460" w:lineRule="exact"/>
        <w:rPr>
          <w:rFonts w:hint="eastAsia" w:ascii="宋体" w:hAnsi="宋体" w:eastAsia="宋体" w:cs="宋体"/>
          <w:b/>
          <w:bCs/>
          <w:color w:val="auto"/>
          <w:sz w:val="28"/>
          <w:szCs w:val="28"/>
          <w:highlight w:val="none"/>
        </w:rPr>
      </w:pPr>
    </w:p>
    <w:p w14:paraId="70796335">
      <w:pPr>
        <w:keepNext w:val="0"/>
        <w:keepLines w:val="0"/>
        <w:pageBreakBefore w:val="0"/>
        <w:widowControl w:val="0"/>
        <w:numPr>
          <w:ilvl w:val="0"/>
          <w:numId w:val="0"/>
        </w:numPr>
        <w:kinsoku/>
        <w:wordWrap/>
        <w:overflowPunct/>
        <w:topLinePunct w:val="0"/>
        <w:bidi w:val="0"/>
        <w:snapToGrid/>
        <w:spacing w:line="460" w:lineRule="exact"/>
        <w:ind w:left="0" w:leftChars="0" w:firstLine="0" w:firstLineChars="0"/>
        <w:rPr>
          <w:rFonts w:hint="eastAsia" w:ascii="宋体" w:hAnsi="宋体" w:eastAsia="宋体" w:cs="宋体"/>
          <w:b/>
          <w:bCs/>
          <w:color w:val="auto"/>
          <w:sz w:val="28"/>
          <w:szCs w:val="28"/>
          <w:highlight w:val="none"/>
        </w:rPr>
      </w:pPr>
      <w:r>
        <w:rPr>
          <w:rFonts w:hint="eastAsia" w:ascii="宋体" w:hAnsi="宋体" w:eastAsia="宋体" w:cs="宋体"/>
          <w:b/>
          <w:bCs/>
          <w:color w:val="auto"/>
          <w:kern w:val="2"/>
          <w:sz w:val="28"/>
          <w:szCs w:val="28"/>
          <w:highlight w:val="none"/>
          <w:lang w:val="en-US" w:eastAsia="zh-CN" w:bidi="ar-SA"/>
        </w:rPr>
        <w:t>四、</w:t>
      </w:r>
      <w:r>
        <w:rPr>
          <w:rFonts w:hint="eastAsia" w:ascii="宋体" w:hAnsi="宋体" w:eastAsia="宋体" w:cs="宋体"/>
          <w:b/>
          <w:bCs/>
          <w:color w:val="auto"/>
          <w:sz w:val="28"/>
          <w:szCs w:val="28"/>
          <w:highlight w:val="none"/>
          <w:lang w:val="en-US" w:eastAsia="zh-CN"/>
        </w:rPr>
        <w:t>验收要求</w:t>
      </w:r>
      <w:r>
        <w:rPr>
          <w:rFonts w:hint="eastAsia" w:ascii="宋体" w:hAnsi="宋体" w:eastAsia="宋体" w:cs="宋体"/>
          <w:b/>
          <w:bCs/>
          <w:color w:val="auto"/>
          <w:sz w:val="28"/>
          <w:szCs w:val="28"/>
          <w:highlight w:val="none"/>
        </w:rPr>
        <w:t>：</w:t>
      </w:r>
    </w:p>
    <w:p w14:paraId="468B1F9E">
      <w:pPr>
        <w:keepNext w:val="0"/>
        <w:keepLines w:val="0"/>
        <w:pageBreakBefore w:val="0"/>
        <w:widowControl w:val="0"/>
        <w:numPr>
          <w:ilvl w:val="0"/>
          <w:numId w:val="0"/>
        </w:numPr>
        <w:kinsoku/>
        <w:wordWrap/>
        <w:overflowPunct/>
        <w:topLinePunct w:val="0"/>
        <w:bidi w:val="0"/>
        <w:snapToGrid/>
        <w:spacing w:line="460" w:lineRule="exact"/>
        <w:ind w:firstLine="480" w:firstLineChars="200"/>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1、采购人根据招标文件的验收标准、投标文件、政府采购合同等对中标人的服务进行验收，并做好验收记录。</w:t>
      </w:r>
    </w:p>
    <w:p w14:paraId="3FEE5FF8">
      <w:pPr>
        <w:keepNext w:val="0"/>
        <w:keepLines w:val="0"/>
        <w:pageBreakBefore w:val="0"/>
        <w:widowControl w:val="0"/>
        <w:numPr>
          <w:ilvl w:val="0"/>
          <w:numId w:val="0"/>
        </w:numPr>
        <w:kinsoku/>
        <w:wordWrap/>
        <w:overflowPunct/>
        <w:topLinePunct w:val="0"/>
        <w:bidi w:val="0"/>
        <w:snapToGrid/>
        <w:spacing w:line="460" w:lineRule="exact"/>
        <w:ind w:firstLine="480" w:firstLineChars="200"/>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2、若验收不通过，采购人应明确向中标人提出整改要求，并限定整改期限。中标人应在规定时间内完成整改，如更换符合要求的人员、补充提交相关证书或证明材料等。整改完成后，中标人应通知采购人重新组织验收，采购人应在规定时间内完成复验并签署验收报告。若中标人未能在规定时间内完成整改，或整改后仍不符合要求，采购人可根据合同约定追究中标人的违约责任，如支付违约金、赔偿损失等。若履约服务人员的服务质量严重影响项目的正常实施，导致合同无法继续履行，采购人可以按照相关规定终止合同，并报财政部门备案。对于合同终止所造成的损失，采购人有权追究中标人的违约责任。</w:t>
      </w:r>
    </w:p>
    <w:p w14:paraId="55C1D191">
      <w:pPr>
        <w:keepNext w:val="0"/>
        <w:keepLines w:val="0"/>
        <w:pageBreakBefore w:val="0"/>
        <w:widowControl w:val="0"/>
        <w:numPr>
          <w:ilvl w:val="0"/>
          <w:numId w:val="0"/>
        </w:numPr>
        <w:kinsoku/>
        <w:wordWrap/>
        <w:overflowPunct/>
        <w:topLinePunct w:val="0"/>
        <w:bidi w:val="0"/>
        <w:snapToGrid/>
        <w:spacing w:line="460" w:lineRule="exact"/>
        <w:rPr>
          <w:rFonts w:hint="eastAsia" w:ascii="宋体" w:hAnsi="宋体" w:eastAsia="宋体" w:cs="宋体"/>
          <w:color w:val="auto"/>
          <w:kern w:val="2"/>
          <w:sz w:val="24"/>
          <w:szCs w:val="24"/>
          <w:highlight w:val="none"/>
          <w:lang w:val="en-US" w:eastAsia="zh-CN" w:bidi="ar-SA"/>
        </w:rPr>
      </w:pPr>
    </w:p>
    <w:p w14:paraId="6BDE655C">
      <w:pPr>
        <w:keepNext w:val="0"/>
        <w:keepLines w:val="0"/>
        <w:pageBreakBefore w:val="0"/>
        <w:widowControl w:val="0"/>
        <w:numPr>
          <w:ilvl w:val="0"/>
          <w:numId w:val="0"/>
        </w:numPr>
        <w:kinsoku/>
        <w:wordWrap/>
        <w:overflowPunct/>
        <w:topLinePunct w:val="0"/>
        <w:bidi w:val="0"/>
        <w:snapToGrid/>
        <w:spacing w:line="460" w:lineRule="exact"/>
        <w:ind w:leftChars="0"/>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lang w:val="en-US" w:eastAsia="zh-CN"/>
        </w:rPr>
        <w:t>五</w:t>
      </w:r>
      <w:r>
        <w:rPr>
          <w:rFonts w:hint="eastAsia" w:ascii="宋体" w:hAnsi="宋体" w:eastAsia="宋体" w:cs="宋体"/>
          <w:b/>
          <w:bCs/>
          <w:color w:val="auto"/>
          <w:sz w:val="28"/>
          <w:szCs w:val="28"/>
          <w:highlight w:val="none"/>
        </w:rPr>
        <w:t>、其他说明：</w:t>
      </w:r>
    </w:p>
    <w:p w14:paraId="5100B32F">
      <w:pPr>
        <w:keepNext w:val="0"/>
        <w:keepLines w:val="0"/>
        <w:pageBreakBefore w:val="0"/>
        <w:widowControl w:val="0"/>
        <w:kinsoku/>
        <w:wordWrap/>
        <w:overflowPunct/>
        <w:topLinePunct w:val="0"/>
        <w:bidi w:val="0"/>
        <w:snapToGrid/>
        <w:spacing w:line="460" w:lineRule="exact"/>
        <w:ind w:firstLine="241" w:firstLineChars="100"/>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2"/>
          <w:highlight w:val="none"/>
        </w:rPr>
        <w:t>1、</w:t>
      </w:r>
      <w:r>
        <w:rPr>
          <w:rFonts w:hint="eastAsia" w:ascii="宋体" w:hAnsi="宋体" w:eastAsia="宋体" w:cs="宋体"/>
          <w:b/>
          <w:bCs/>
          <w:color w:val="auto"/>
          <w:sz w:val="24"/>
          <w:szCs w:val="24"/>
          <w:highlight w:val="none"/>
        </w:rPr>
        <w:t>本项目“项目需求”中标“★”的相关要求，为本招标文件实质性要求，必须满足，否则将作无效投标处理。</w:t>
      </w:r>
    </w:p>
    <w:p w14:paraId="7E75FF0E">
      <w:pPr>
        <w:keepNext w:val="0"/>
        <w:keepLines w:val="0"/>
        <w:pageBreakBefore w:val="0"/>
        <w:widowControl w:val="0"/>
        <w:kinsoku/>
        <w:wordWrap/>
        <w:overflowPunct/>
        <w:topLinePunct w:val="0"/>
        <w:bidi w:val="0"/>
        <w:snapToGrid/>
        <w:spacing w:line="460" w:lineRule="exact"/>
        <w:rPr>
          <w:rFonts w:hint="eastAsia" w:ascii="宋体" w:hAnsi="宋体" w:eastAsia="宋体" w:cs="宋体"/>
          <w:b/>
          <w:bCs/>
          <w:color w:val="auto"/>
          <w:sz w:val="24"/>
          <w:szCs w:val="24"/>
          <w:highlight w:val="none"/>
        </w:rPr>
      </w:pPr>
    </w:p>
    <w:p w14:paraId="78A182C4">
      <w:pPr>
        <w:keepNext w:val="0"/>
        <w:keepLines w:val="0"/>
        <w:pageBreakBefore w:val="0"/>
        <w:widowControl w:val="0"/>
        <w:kinsoku/>
        <w:wordWrap/>
        <w:overflowPunct/>
        <w:topLinePunct w:val="0"/>
        <w:bidi w:val="0"/>
        <w:snapToGrid/>
        <w:spacing w:line="460" w:lineRule="exact"/>
        <w:rPr>
          <w:rFonts w:hint="eastAsia" w:ascii="宋体" w:hAnsi="宋体" w:eastAsia="宋体" w:cs="宋体"/>
          <w:b/>
          <w:bCs/>
          <w:color w:val="auto"/>
          <w:sz w:val="28"/>
          <w:szCs w:val="28"/>
          <w:highlight w:val="none"/>
          <w:lang w:val="en-US" w:eastAsia="zh-CN"/>
        </w:rPr>
      </w:pPr>
      <w:r>
        <w:rPr>
          <w:rFonts w:hint="eastAsia" w:ascii="宋体" w:hAnsi="宋体" w:eastAsia="宋体" w:cs="宋体"/>
          <w:b/>
          <w:bCs/>
          <w:color w:val="auto"/>
          <w:sz w:val="28"/>
          <w:szCs w:val="28"/>
          <w:highlight w:val="none"/>
          <w:lang w:val="en-US" w:eastAsia="zh-CN"/>
        </w:rPr>
        <w:t>六、附件：</w:t>
      </w:r>
    </w:p>
    <w:p w14:paraId="3E6D657F">
      <w:pPr>
        <w:keepNext w:val="0"/>
        <w:keepLines w:val="0"/>
        <w:pageBreakBefore w:val="0"/>
        <w:widowControl w:val="0"/>
        <w:kinsoku/>
        <w:wordWrap/>
        <w:overflowPunct/>
        <w:topLinePunct w:val="0"/>
        <w:bidi w:val="0"/>
        <w:snapToGrid/>
        <w:spacing w:line="460" w:lineRule="exact"/>
        <w:ind w:firstLine="480" w:firstLineChars="200"/>
        <w:jc w:val="center"/>
        <w:rPr>
          <w:rFonts w:hint="eastAsia" w:ascii="宋体" w:hAnsi="宋体" w:eastAsia="宋体" w:cs="宋体"/>
          <w:b w:val="0"/>
          <w:sz w:val="24"/>
          <w:szCs w:val="24"/>
          <w:highlight w:val="none"/>
        </w:rPr>
      </w:pPr>
      <w:r>
        <w:rPr>
          <w:rFonts w:hint="eastAsia" w:ascii="宋体" w:hAnsi="宋体" w:eastAsia="宋体" w:cs="宋体"/>
          <w:b w:val="0"/>
          <w:sz w:val="24"/>
          <w:szCs w:val="24"/>
          <w:highlight w:val="none"/>
          <w:lang w:val="en-US" w:eastAsia="zh-CN"/>
        </w:rPr>
        <w:t>梅李人民医院</w:t>
      </w:r>
      <w:r>
        <w:rPr>
          <w:rFonts w:hint="eastAsia" w:ascii="宋体" w:hAnsi="宋体" w:eastAsia="宋体" w:cs="宋体"/>
          <w:b w:val="0"/>
          <w:sz w:val="24"/>
          <w:szCs w:val="24"/>
          <w:highlight w:val="none"/>
        </w:rPr>
        <w:t>食堂</w:t>
      </w:r>
      <w:r>
        <w:rPr>
          <w:rFonts w:hint="eastAsia" w:ascii="宋体" w:hAnsi="宋体" w:eastAsia="宋体" w:cs="宋体"/>
          <w:b w:val="0"/>
          <w:sz w:val="24"/>
          <w:szCs w:val="24"/>
          <w:highlight w:val="none"/>
          <w:lang w:val="en-US" w:eastAsia="zh-CN"/>
        </w:rPr>
        <w:t>供餐配送</w:t>
      </w:r>
      <w:r>
        <w:rPr>
          <w:rFonts w:hint="eastAsia" w:ascii="宋体" w:hAnsi="宋体" w:eastAsia="宋体" w:cs="宋体"/>
          <w:b w:val="0"/>
          <w:sz w:val="24"/>
          <w:szCs w:val="24"/>
          <w:highlight w:val="none"/>
        </w:rPr>
        <w:t>服务考核评分表</w:t>
      </w:r>
    </w:p>
    <w:p w14:paraId="7BF25442">
      <w:pPr>
        <w:rPr>
          <w:rFonts w:hint="eastAsia" w:ascii="宋体" w:hAnsi="宋体" w:eastAsia="宋体" w:cs="宋体"/>
          <w:sz w:val="24"/>
          <w:szCs w:val="24"/>
          <w:highlight w:val="none"/>
        </w:rPr>
      </w:pPr>
    </w:p>
    <w:tbl>
      <w:tblPr>
        <w:tblStyle w:val="54"/>
        <w:tblW w:w="9488" w:type="dxa"/>
        <w:jc w:val="center"/>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Layout w:type="fixed"/>
        <w:tblCellMar>
          <w:top w:w="0" w:type="dxa"/>
          <w:left w:w="108" w:type="dxa"/>
          <w:bottom w:w="0" w:type="dxa"/>
          <w:right w:w="108" w:type="dxa"/>
        </w:tblCellMar>
      </w:tblPr>
      <w:tblGrid>
        <w:gridCol w:w="1186"/>
        <w:gridCol w:w="522"/>
        <w:gridCol w:w="4050"/>
        <w:gridCol w:w="735"/>
        <w:gridCol w:w="1305"/>
        <w:gridCol w:w="820"/>
        <w:gridCol w:w="870"/>
      </w:tblGrid>
      <w:tr w14:paraId="4BB2753B">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108" w:type="dxa"/>
            <w:bottom w:w="0" w:type="dxa"/>
            <w:right w:w="108" w:type="dxa"/>
          </w:tblCellMar>
        </w:tblPrEx>
        <w:trPr>
          <w:trHeight w:val="90" w:hRule="atLeast"/>
          <w:tblHeader/>
          <w:jc w:val="center"/>
        </w:trPr>
        <w:tc>
          <w:tcPr>
            <w:tcW w:w="5758" w:type="dxa"/>
            <w:gridSpan w:val="3"/>
            <w:noWrap w:val="0"/>
            <w:tcMar>
              <w:top w:w="15" w:type="dxa"/>
              <w:left w:w="15" w:type="dxa"/>
              <w:bottom w:w="15" w:type="dxa"/>
              <w:right w:w="15" w:type="dxa"/>
            </w:tcMar>
            <w:vAlign w:val="center"/>
          </w:tcPr>
          <w:p w14:paraId="0A0D83A5">
            <w:pPr>
              <w:widowControl/>
              <w:adjustRightInd w:val="0"/>
              <w:snapToGrid w:val="0"/>
              <w:spacing w:line="100" w:lineRule="atLeast"/>
              <w:jc w:val="center"/>
              <w:textAlignment w:val="center"/>
              <w:rPr>
                <w:rFonts w:hint="eastAsia" w:ascii="宋体" w:hAnsi="宋体" w:eastAsia="宋体" w:cs="宋体"/>
                <w:b/>
                <w:bCs/>
                <w:color w:val="000000"/>
                <w:sz w:val="24"/>
                <w:szCs w:val="24"/>
                <w:highlight w:val="none"/>
              </w:rPr>
            </w:pPr>
            <w:r>
              <w:rPr>
                <w:rFonts w:hint="eastAsia" w:ascii="宋体" w:hAnsi="宋体" w:eastAsia="宋体" w:cs="宋体"/>
                <w:b/>
                <w:bCs/>
                <w:color w:val="000000"/>
                <w:kern w:val="0"/>
                <w:sz w:val="24"/>
                <w:szCs w:val="24"/>
                <w:highlight w:val="none"/>
              </w:rPr>
              <w:t>考核内容</w:t>
            </w:r>
          </w:p>
        </w:tc>
        <w:tc>
          <w:tcPr>
            <w:tcW w:w="735" w:type="dxa"/>
            <w:noWrap w:val="0"/>
            <w:tcMar>
              <w:top w:w="15" w:type="dxa"/>
              <w:left w:w="15" w:type="dxa"/>
              <w:bottom w:w="15" w:type="dxa"/>
              <w:right w:w="15" w:type="dxa"/>
            </w:tcMar>
            <w:vAlign w:val="center"/>
          </w:tcPr>
          <w:p w14:paraId="74B6BE1A">
            <w:pPr>
              <w:widowControl/>
              <w:adjustRightInd w:val="0"/>
              <w:snapToGrid w:val="0"/>
              <w:spacing w:line="100" w:lineRule="atLeast"/>
              <w:jc w:val="center"/>
              <w:textAlignment w:val="center"/>
              <w:rPr>
                <w:rFonts w:hint="eastAsia" w:ascii="宋体" w:hAnsi="宋体" w:eastAsia="宋体" w:cs="宋体"/>
                <w:b/>
                <w:bCs/>
                <w:color w:val="000000"/>
                <w:kern w:val="0"/>
                <w:sz w:val="24"/>
                <w:szCs w:val="24"/>
                <w:highlight w:val="none"/>
                <w:lang w:eastAsia="zh-CN" w:bidi="ar"/>
              </w:rPr>
            </w:pPr>
            <w:r>
              <w:rPr>
                <w:rFonts w:hint="eastAsia" w:ascii="宋体" w:hAnsi="宋体" w:eastAsia="宋体" w:cs="宋体"/>
                <w:b/>
                <w:bCs/>
                <w:color w:val="000000"/>
                <w:kern w:val="0"/>
                <w:sz w:val="24"/>
                <w:szCs w:val="24"/>
                <w:highlight w:val="none"/>
                <w:lang w:val="en-US" w:eastAsia="zh-CN" w:bidi="ar"/>
              </w:rPr>
              <w:t>分值</w:t>
            </w:r>
          </w:p>
        </w:tc>
        <w:tc>
          <w:tcPr>
            <w:tcW w:w="1305" w:type="dxa"/>
            <w:noWrap w:val="0"/>
            <w:tcMar>
              <w:top w:w="15" w:type="dxa"/>
              <w:left w:w="15" w:type="dxa"/>
              <w:bottom w:w="15" w:type="dxa"/>
              <w:right w:w="15" w:type="dxa"/>
            </w:tcMar>
            <w:vAlign w:val="center"/>
          </w:tcPr>
          <w:p w14:paraId="32E6BBDA">
            <w:pPr>
              <w:widowControl/>
              <w:adjustRightInd w:val="0"/>
              <w:snapToGrid w:val="0"/>
              <w:spacing w:line="100" w:lineRule="atLeast"/>
              <w:jc w:val="center"/>
              <w:textAlignment w:val="center"/>
              <w:rPr>
                <w:rFonts w:hint="default" w:ascii="宋体" w:hAnsi="宋体" w:eastAsia="宋体" w:cs="宋体"/>
                <w:b/>
                <w:bCs/>
                <w:color w:val="000000"/>
                <w:kern w:val="0"/>
                <w:sz w:val="24"/>
                <w:szCs w:val="24"/>
                <w:highlight w:val="none"/>
                <w:lang w:val="en-US" w:eastAsia="zh-CN" w:bidi="ar"/>
              </w:rPr>
            </w:pPr>
            <w:r>
              <w:rPr>
                <w:rFonts w:hint="eastAsia" w:ascii="宋体" w:hAnsi="宋体" w:cs="宋体"/>
                <w:b/>
                <w:bCs/>
                <w:color w:val="000000"/>
                <w:kern w:val="0"/>
                <w:sz w:val="24"/>
                <w:szCs w:val="24"/>
                <w:highlight w:val="none"/>
                <w:lang w:val="en-US" w:eastAsia="zh-CN" w:bidi="ar"/>
              </w:rPr>
              <w:t>扣分标准（分/每次）</w:t>
            </w:r>
          </w:p>
        </w:tc>
        <w:tc>
          <w:tcPr>
            <w:tcW w:w="820" w:type="dxa"/>
            <w:noWrap w:val="0"/>
            <w:tcMar>
              <w:top w:w="15" w:type="dxa"/>
              <w:left w:w="15" w:type="dxa"/>
              <w:bottom w:w="15" w:type="dxa"/>
              <w:right w:w="15" w:type="dxa"/>
            </w:tcMar>
            <w:vAlign w:val="center"/>
          </w:tcPr>
          <w:p w14:paraId="6EBA0658">
            <w:pPr>
              <w:widowControl/>
              <w:adjustRightInd w:val="0"/>
              <w:snapToGrid w:val="0"/>
              <w:spacing w:line="100" w:lineRule="atLeast"/>
              <w:jc w:val="center"/>
              <w:textAlignment w:val="center"/>
              <w:rPr>
                <w:rFonts w:hint="eastAsia" w:ascii="宋体" w:hAnsi="宋体" w:eastAsia="宋体" w:cs="宋体"/>
                <w:b/>
                <w:bCs/>
                <w:color w:val="000000"/>
                <w:kern w:val="0"/>
                <w:sz w:val="24"/>
                <w:szCs w:val="24"/>
                <w:highlight w:val="none"/>
                <w:lang w:val="en-US" w:eastAsia="zh-CN" w:bidi="ar"/>
              </w:rPr>
            </w:pPr>
            <w:r>
              <w:rPr>
                <w:rFonts w:hint="eastAsia" w:ascii="宋体" w:hAnsi="宋体" w:eastAsia="宋体" w:cs="宋体"/>
                <w:b/>
                <w:bCs/>
                <w:color w:val="000000"/>
                <w:kern w:val="0"/>
                <w:sz w:val="24"/>
                <w:szCs w:val="24"/>
                <w:highlight w:val="none"/>
                <w:lang w:val="en-US" w:eastAsia="zh-CN" w:bidi="ar"/>
              </w:rPr>
              <w:t>得分</w:t>
            </w:r>
          </w:p>
        </w:tc>
        <w:tc>
          <w:tcPr>
            <w:tcW w:w="870" w:type="dxa"/>
            <w:noWrap w:val="0"/>
            <w:tcMar>
              <w:top w:w="15" w:type="dxa"/>
              <w:left w:w="15" w:type="dxa"/>
              <w:bottom w:w="15" w:type="dxa"/>
              <w:right w:w="15" w:type="dxa"/>
            </w:tcMar>
            <w:vAlign w:val="center"/>
          </w:tcPr>
          <w:p w14:paraId="3B94D37B">
            <w:pPr>
              <w:widowControl/>
              <w:adjustRightInd w:val="0"/>
              <w:snapToGrid w:val="0"/>
              <w:spacing w:line="100" w:lineRule="atLeast"/>
              <w:jc w:val="center"/>
              <w:textAlignment w:val="center"/>
              <w:rPr>
                <w:rFonts w:hint="eastAsia" w:ascii="宋体" w:hAnsi="宋体" w:eastAsia="宋体" w:cs="宋体"/>
                <w:b/>
                <w:bCs/>
                <w:color w:val="000000"/>
                <w:kern w:val="0"/>
                <w:sz w:val="24"/>
                <w:szCs w:val="24"/>
                <w:highlight w:val="none"/>
                <w:lang w:val="en-US" w:eastAsia="zh-CN" w:bidi="ar"/>
              </w:rPr>
            </w:pPr>
            <w:r>
              <w:rPr>
                <w:rFonts w:hint="eastAsia" w:ascii="宋体" w:hAnsi="宋体" w:eastAsia="宋体" w:cs="宋体"/>
                <w:b/>
                <w:bCs/>
                <w:color w:val="000000"/>
                <w:kern w:val="0"/>
                <w:sz w:val="24"/>
                <w:szCs w:val="24"/>
                <w:highlight w:val="none"/>
                <w:lang w:val="en-US" w:eastAsia="zh-CN" w:bidi="ar"/>
              </w:rPr>
              <w:t>备注</w:t>
            </w:r>
          </w:p>
        </w:tc>
      </w:tr>
      <w:tr w14:paraId="72E87BC9">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108" w:type="dxa"/>
            <w:bottom w:w="0" w:type="dxa"/>
            <w:right w:w="108" w:type="dxa"/>
          </w:tblCellMar>
        </w:tblPrEx>
        <w:trPr>
          <w:trHeight w:val="478" w:hRule="atLeast"/>
          <w:jc w:val="center"/>
        </w:trPr>
        <w:tc>
          <w:tcPr>
            <w:tcW w:w="1186" w:type="dxa"/>
            <w:vMerge w:val="restart"/>
            <w:noWrap w:val="0"/>
            <w:tcMar>
              <w:top w:w="15" w:type="dxa"/>
              <w:left w:w="15" w:type="dxa"/>
              <w:bottom w:w="15" w:type="dxa"/>
              <w:right w:w="15" w:type="dxa"/>
            </w:tcMar>
            <w:vAlign w:val="center"/>
          </w:tcPr>
          <w:p w14:paraId="190EC7CB">
            <w:pPr>
              <w:widowControl/>
              <w:adjustRightInd w:val="0"/>
              <w:snapToGrid w:val="0"/>
              <w:spacing w:line="100" w:lineRule="atLeast"/>
              <w:jc w:val="center"/>
              <w:textAlignment w:val="center"/>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kern w:val="0"/>
                <w:sz w:val="24"/>
                <w:szCs w:val="24"/>
                <w:highlight w:val="none"/>
                <w:lang w:val="en-US" w:eastAsia="zh-CN" w:bidi="ar"/>
              </w:rPr>
              <w:t>1.</w:t>
            </w:r>
            <w:r>
              <w:rPr>
                <w:rFonts w:hint="eastAsia" w:ascii="宋体" w:hAnsi="宋体" w:eastAsia="宋体" w:cs="宋体"/>
                <w:color w:val="000000"/>
                <w:kern w:val="0"/>
                <w:sz w:val="24"/>
                <w:szCs w:val="24"/>
                <w:highlight w:val="none"/>
                <w:lang w:bidi="ar"/>
              </w:rPr>
              <w:t>许可</w:t>
            </w:r>
            <w:r>
              <w:rPr>
                <w:rFonts w:hint="eastAsia" w:ascii="宋体" w:hAnsi="宋体" w:eastAsia="宋体" w:cs="宋体"/>
                <w:color w:val="000000"/>
                <w:kern w:val="0"/>
                <w:sz w:val="24"/>
                <w:szCs w:val="24"/>
                <w:highlight w:val="none"/>
                <w:lang w:val="en-US" w:eastAsia="zh-CN" w:bidi="ar"/>
              </w:rPr>
              <w:t>公示满意度</w:t>
            </w:r>
          </w:p>
        </w:tc>
        <w:tc>
          <w:tcPr>
            <w:tcW w:w="522" w:type="dxa"/>
            <w:noWrap w:val="0"/>
            <w:tcMar>
              <w:top w:w="15" w:type="dxa"/>
              <w:left w:w="15" w:type="dxa"/>
              <w:bottom w:w="15" w:type="dxa"/>
              <w:right w:w="15" w:type="dxa"/>
            </w:tcMar>
            <w:vAlign w:val="center"/>
          </w:tcPr>
          <w:p w14:paraId="71EDCDA6">
            <w:pPr>
              <w:widowControl/>
              <w:adjustRightInd w:val="0"/>
              <w:snapToGrid w:val="0"/>
              <w:spacing w:line="100" w:lineRule="atLeast"/>
              <w:jc w:val="center"/>
              <w:textAlignment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1</w:t>
            </w:r>
          </w:p>
        </w:tc>
        <w:tc>
          <w:tcPr>
            <w:tcW w:w="4050" w:type="dxa"/>
            <w:noWrap w:val="0"/>
            <w:tcMar>
              <w:top w:w="15" w:type="dxa"/>
              <w:left w:w="15" w:type="dxa"/>
              <w:bottom w:w="15" w:type="dxa"/>
              <w:right w:w="15" w:type="dxa"/>
            </w:tcMar>
            <w:vAlign w:val="center"/>
          </w:tcPr>
          <w:p w14:paraId="259FF833">
            <w:pPr>
              <w:widowControl/>
              <w:adjustRightInd w:val="0"/>
              <w:snapToGrid w:val="0"/>
              <w:spacing w:line="100" w:lineRule="atLeast"/>
              <w:textAlignment w:val="center"/>
              <w:rPr>
                <w:rFonts w:hint="eastAsia" w:ascii="宋体" w:hAnsi="宋体" w:eastAsia="宋体" w:cs="宋体"/>
                <w:color w:val="000000"/>
                <w:sz w:val="24"/>
                <w:szCs w:val="24"/>
                <w:highlight w:val="none"/>
              </w:rPr>
            </w:pPr>
            <w:r>
              <w:rPr>
                <w:rFonts w:hint="eastAsia" w:ascii="宋体" w:hAnsi="宋体" w:eastAsia="宋体" w:cs="宋体"/>
                <w:color w:val="000000"/>
                <w:kern w:val="0"/>
                <w:sz w:val="24"/>
                <w:szCs w:val="24"/>
                <w:highlight w:val="none"/>
                <w:lang w:bidi="ar"/>
              </w:rPr>
              <w:t>在显著位置悬挂或摆放许可证。许可证合法有效。</w:t>
            </w:r>
          </w:p>
        </w:tc>
        <w:tc>
          <w:tcPr>
            <w:tcW w:w="735" w:type="dxa"/>
            <w:noWrap w:val="0"/>
            <w:tcMar>
              <w:top w:w="15" w:type="dxa"/>
              <w:left w:w="15" w:type="dxa"/>
              <w:bottom w:w="15" w:type="dxa"/>
              <w:right w:w="15" w:type="dxa"/>
            </w:tcMar>
            <w:vAlign w:val="center"/>
          </w:tcPr>
          <w:p w14:paraId="3A49B487">
            <w:pPr>
              <w:widowControl/>
              <w:adjustRightInd w:val="0"/>
              <w:snapToGrid w:val="0"/>
              <w:spacing w:line="100" w:lineRule="atLeast"/>
              <w:jc w:val="center"/>
              <w:textAlignment w:val="center"/>
              <w:rPr>
                <w:rFonts w:hint="eastAsia" w:ascii="宋体" w:hAnsi="宋体" w:eastAsia="宋体" w:cs="宋体"/>
                <w:color w:val="000000"/>
                <w:kern w:val="0"/>
                <w:sz w:val="24"/>
                <w:szCs w:val="24"/>
                <w:highlight w:val="none"/>
                <w:lang w:val="en-US" w:eastAsia="zh-CN" w:bidi="ar"/>
              </w:rPr>
            </w:pPr>
            <w:r>
              <w:rPr>
                <w:rFonts w:hint="eastAsia" w:ascii="宋体" w:hAnsi="宋体" w:eastAsia="宋体" w:cs="宋体"/>
                <w:color w:val="000000"/>
                <w:kern w:val="0"/>
                <w:sz w:val="24"/>
                <w:szCs w:val="24"/>
                <w:highlight w:val="none"/>
                <w:lang w:val="en-US" w:eastAsia="zh-CN" w:bidi="ar"/>
              </w:rPr>
              <w:t>5</w:t>
            </w:r>
          </w:p>
        </w:tc>
        <w:tc>
          <w:tcPr>
            <w:tcW w:w="1305" w:type="dxa"/>
            <w:noWrap w:val="0"/>
            <w:tcMar>
              <w:top w:w="15" w:type="dxa"/>
              <w:left w:w="15" w:type="dxa"/>
              <w:bottom w:w="15" w:type="dxa"/>
              <w:right w:w="15" w:type="dxa"/>
            </w:tcMar>
            <w:vAlign w:val="center"/>
          </w:tcPr>
          <w:p w14:paraId="270D9CF4">
            <w:pPr>
              <w:widowControl/>
              <w:adjustRightInd w:val="0"/>
              <w:snapToGrid w:val="0"/>
              <w:spacing w:line="100" w:lineRule="atLeast"/>
              <w:jc w:val="center"/>
              <w:textAlignment w:val="center"/>
              <w:rPr>
                <w:rFonts w:hint="default" w:ascii="宋体" w:hAnsi="宋体" w:eastAsia="宋体" w:cs="宋体"/>
                <w:color w:val="000000"/>
                <w:kern w:val="0"/>
                <w:sz w:val="24"/>
                <w:szCs w:val="24"/>
                <w:highlight w:val="none"/>
                <w:lang w:val="en-US" w:eastAsia="zh-CN" w:bidi="ar"/>
              </w:rPr>
            </w:pPr>
            <w:r>
              <w:rPr>
                <w:rFonts w:hint="eastAsia" w:ascii="宋体" w:hAnsi="宋体" w:cs="宋体"/>
                <w:color w:val="000000"/>
                <w:kern w:val="0"/>
                <w:sz w:val="24"/>
                <w:szCs w:val="24"/>
                <w:highlight w:val="none"/>
                <w:lang w:val="en-US" w:eastAsia="zh-CN" w:bidi="ar"/>
              </w:rPr>
              <w:t>5</w:t>
            </w:r>
          </w:p>
        </w:tc>
        <w:tc>
          <w:tcPr>
            <w:tcW w:w="820" w:type="dxa"/>
            <w:noWrap w:val="0"/>
            <w:tcMar>
              <w:top w:w="15" w:type="dxa"/>
              <w:left w:w="15" w:type="dxa"/>
              <w:bottom w:w="15" w:type="dxa"/>
              <w:right w:w="15" w:type="dxa"/>
            </w:tcMar>
            <w:vAlign w:val="center"/>
          </w:tcPr>
          <w:p w14:paraId="1C83B528">
            <w:pPr>
              <w:widowControl/>
              <w:adjustRightInd w:val="0"/>
              <w:snapToGrid w:val="0"/>
              <w:spacing w:line="100" w:lineRule="atLeast"/>
              <w:jc w:val="center"/>
              <w:textAlignment w:val="center"/>
              <w:rPr>
                <w:rFonts w:hint="eastAsia" w:ascii="宋体" w:hAnsi="宋体" w:eastAsia="宋体" w:cs="宋体"/>
                <w:color w:val="000000"/>
                <w:kern w:val="0"/>
                <w:sz w:val="24"/>
                <w:szCs w:val="24"/>
                <w:highlight w:val="none"/>
                <w:lang w:bidi="ar"/>
              </w:rPr>
            </w:pPr>
          </w:p>
        </w:tc>
        <w:tc>
          <w:tcPr>
            <w:tcW w:w="870" w:type="dxa"/>
            <w:noWrap w:val="0"/>
            <w:tcMar>
              <w:top w:w="15" w:type="dxa"/>
              <w:left w:w="15" w:type="dxa"/>
              <w:bottom w:w="15" w:type="dxa"/>
              <w:right w:w="15" w:type="dxa"/>
            </w:tcMar>
            <w:vAlign w:val="center"/>
          </w:tcPr>
          <w:p w14:paraId="1914C58C">
            <w:pPr>
              <w:widowControl/>
              <w:adjustRightInd w:val="0"/>
              <w:snapToGrid w:val="0"/>
              <w:spacing w:line="100" w:lineRule="atLeast"/>
              <w:jc w:val="center"/>
              <w:textAlignment w:val="center"/>
              <w:rPr>
                <w:rFonts w:hint="eastAsia" w:ascii="宋体" w:hAnsi="宋体" w:eastAsia="宋体" w:cs="宋体"/>
                <w:color w:val="000000"/>
                <w:kern w:val="0"/>
                <w:sz w:val="24"/>
                <w:szCs w:val="24"/>
                <w:highlight w:val="none"/>
                <w:lang w:bidi="ar"/>
              </w:rPr>
            </w:pPr>
          </w:p>
        </w:tc>
      </w:tr>
      <w:tr w14:paraId="63DB1E1D">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108" w:type="dxa"/>
            <w:bottom w:w="0" w:type="dxa"/>
            <w:right w:w="108" w:type="dxa"/>
          </w:tblCellMar>
        </w:tblPrEx>
        <w:trPr>
          <w:trHeight w:val="470" w:hRule="atLeast"/>
          <w:jc w:val="center"/>
        </w:trPr>
        <w:tc>
          <w:tcPr>
            <w:tcW w:w="1186" w:type="dxa"/>
            <w:vMerge w:val="continue"/>
            <w:noWrap w:val="0"/>
            <w:vAlign w:val="center"/>
          </w:tcPr>
          <w:p w14:paraId="272883B7">
            <w:pPr>
              <w:widowControl/>
              <w:adjustRightInd w:val="0"/>
              <w:snapToGrid w:val="0"/>
              <w:spacing w:line="100" w:lineRule="atLeast"/>
              <w:jc w:val="center"/>
              <w:rPr>
                <w:rFonts w:hint="eastAsia" w:ascii="宋体" w:hAnsi="宋体" w:eastAsia="宋体" w:cs="宋体"/>
                <w:color w:val="000000"/>
                <w:sz w:val="24"/>
                <w:szCs w:val="24"/>
                <w:highlight w:val="none"/>
              </w:rPr>
            </w:pPr>
          </w:p>
        </w:tc>
        <w:tc>
          <w:tcPr>
            <w:tcW w:w="522" w:type="dxa"/>
            <w:noWrap w:val="0"/>
            <w:tcMar>
              <w:top w:w="15" w:type="dxa"/>
              <w:left w:w="15" w:type="dxa"/>
              <w:bottom w:w="15" w:type="dxa"/>
              <w:right w:w="15" w:type="dxa"/>
            </w:tcMar>
            <w:vAlign w:val="center"/>
          </w:tcPr>
          <w:p w14:paraId="0257907D">
            <w:pPr>
              <w:widowControl/>
              <w:adjustRightInd w:val="0"/>
              <w:snapToGrid w:val="0"/>
              <w:spacing w:line="100" w:lineRule="atLeast"/>
              <w:jc w:val="center"/>
              <w:textAlignment w:val="center"/>
              <w:rPr>
                <w:rFonts w:hint="eastAsia" w:ascii="宋体" w:hAnsi="宋体" w:eastAsia="宋体" w:cs="宋体"/>
                <w:color w:val="000000"/>
                <w:kern w:val="0"/>
                <w:sz w:val="24"/>
                <w:szCs w:val="24"/>
                <w:highlight w:val="none"/>
                <w:lang w:bidi="ar"/>
              </w:rPr>
            </w:pPr>
            <w:r>
              <w:rPr>
                <w:rFonts w:hint="eastAsia" w:ascii="宋体" w:hAnsi="宋体" w:eastAsia="宋体" w:cs="宋体"/>
                <w:color w:val="000000"/>
                <w:kern w:val="0"/>
                <w:sz w:val="24"/>
                <w:szCs w:val="24"/>
                <w:highlight w:val="none"/>
                <w:lang w:bidi="ar"/>
              </w:rPr>
              <w:t>2</w:t>
            </w:r>
          </w:p>
        </w:tc>
        <w:tc>
          <w:tcPr>
            <w:tcW w:w="4050" w:type="dxa"/>
            <w:noWrap w:val="0"/>
            <w:tcMar>
              <w:top w:w="15" w:type="dxa"/>
              <w:left w:w="15" w:type="dxa"/>
              <w:bottom w:w="15" w:type="dxa"/>
              <w:right w:w="15" w:type="dxa"/>
            </w:tcMar>
            <w:vAlign w:val="center"/>
          </w:tcPr>
          <w:p w14:paraId="2D264C69">
            <w:pPr>
              <w:widowControl/>
              <w:adjustRightInd w:val="0"/>
              <w:snapToGrid w:val="0"/>
              <w:spacing w:line="100" w:lineRule="atLeast"/>
              <w:textAlignment w:val="center"/>
              <w:rPr>
                <w:rFonts w:hint="eastAsia" w:ascii="宋体" w:hAnsi="宋体" w:eastAsia="宋体" w:cs="宋体"/>
                <w:color w:val="000000"/>
                <w:kern w:val="0"/>
                <w:sz w:val="24"/>
                <w:szCs w:val="24"/>
                <w:highlight w:val="none"/>
                <w:lang w:bidi="ar"/>
              </w:rPr>
            </w:pPr>
            <w:r>
              <w:rPr>
                <w:rFonts w:hint="eastAsia" w:ascii="宋体" w:hAnsi="宋体" w:eastAsia="宋体" w:cs="宋体"/>
                <w:color w:val="000000"/>
                <w:kern w:val="0"/>
                <w:sz w:val="24"/>
                <w:szCs w:val="24"/>
                <w:highlight w:val="none"/>
                <w:lang w:bidi="ar"/>
              </w:rPr>
              <w:t>经营类别、项目等与许可证载明的一致。</w:t>
            </w:r>
          </w:p>
        </w:tc>
        <w:tc>
          <w:tcPr>
            <w:tcW w:w="735" w:type="dxa"/>
            <w:noWrap w:val="0"/>
            <w:tcMar>
              <w:top w:w="15" w:type="dxa"/>
              <w:left w:w="15" w:type="dxa"/>
              <w:bottom w:w="15" w:type="dxa"/>
              <w:right w:w="15" w:type="dxa"/>
            </w:tcMar>
            <w:vAlign w:val="center"/>
          </w:tcPr>
          <w:p w14:paraId="5D87190D">
            <w:pPr>
              <w:widowControl/>
              <w:adjustRightInd w:val="0"/>
              <w:snapToGrid w:val="0"/>
              <w:spacing w:line="100" w:lineRule="atLeast"/>
              <w:jc w:val="center"/>
              <w:textAlignment w:val="center"/>
              <w:rPr>
                <w:rFonts w:hint="eastAsia" w:ascii="宋体" w:hAnsi="宋体" w:eastAsia="宋体" w:cs="宋体"/>
                <w:color w:val="000000"/>
                <w:kern w:val="0"/>
                <w:sz w:val="24"/>
                <w:szCs w:val="24"/>
                <w:highlight w:val="none"/>
                <w:lang w:val="en-US" w:eastAsia="zh-CN" w:bidi="ar"/>
              </w:rPr>
            </w:pPr>
            <w:r>
              <w:rPr>
                <w:rFonts w:hint="eastAsia" w:ascii="宋体" w:hAnsi="宋体" w:eastAsia="宋体" w:cs="宋体"/>
                <w:color w:val="000000"/>
                <w:kern w:val="0"/>
                <w:sz w:val="24"/>
                <w:szCs w:val="24"/>
                <w:highlight w:val="none"/>
                <w:lang w:val="en-US" w:eastAsia="zh-CN" w:bidi="ar"/>
              </w:rPr>
              <w:t>5</w:t>
            </w:r>
          </w:p>
        </w:tc>
        <w:tc>
          <w:tcPr>
            <w:tcW w:w="1305" w:type="dxa"/>
            <w:noWrap w:val="0"/>
            <w:tcMar>
              <w:top w:w="15" w:type="dxa"/>
              <w:left w:w="15" w:type="dxa"/>
              <w:bottom w:w="15" w:type="dxa"/>
              <w:right w:w="15" w:type="dxa"/>
            </w:tcMar>
            <w:vAlign w:val="center"/>
          </w:tcPr>
          <w:p w14:paraId="0944DB44">
            <w:pPr>
              <w:widowControl/>
              <w:adjustRightInd w:val="0"/>
              <w:snapToGrid w:val="0"/>
              <w:spacing w:line="100" w:lineRule="atLeast"/>
              <w:jc w:val="center"/>
              <w:textAlignment w:val="center"/>
              <w:rPr>
                <w:rFonts w:hint="default" w:ascii="宋体" w:hAnsi="宋体" w:eastAsia="宋体" w:cs="宋体"/>
                <w:color w:val="000000"/>
                <w:kern w:val="0"/>
                <w:sz w:val="24"/>
                <w:szCs w:val="24"/>
                <w:highlight w:val="none"/>
                <w:lang w:val="en-US" w:eastAsia="zh-CN" w:bidi="ar"/>
              </w:rPr>
            </w:pPr>
            <w:r>
              <w:rPr>
                <w:rFonts w:hint="eastAsia" w:ascii="宋体" w:hAnsi="宋体" w:cs="宋体"/>
                <w:color w:val="000000"/>
                <w:kern w:val="0"/>
                <w:sz w:val="24"/>
                <w:szCs w:val="24"/>
                <w:highlight w:val="none"/>
                <w:lang w:val="en-US" w:eastAsia="zh-CN" w:bidi="ar"/>
              </w:rPr>
              <w:t>5</w:t>
            </w:r>
          </w:p>
        </w:tc>
        <w:tc>
          <w:tcPr>
            <w:tcW w:w="820" w:type="dxa"/>
            <w:noWrap w:val="0"/>
            <w:tcMar>
              <w:top w:w="15" w:type="dxa"/>
              <w:left w:w="15" w:type="dxa"/>
              <w:bottom w:w="15" w:type="dxa"/>
              <w:right w:w="15" w:type="dxa"/>
            </w:tcMar>
            <w:vAlign w:val="center"/>
          </w:tcPr>
          <w:p w14:paraId="448A8DF0">
            <w:pPr>
              <w:widowControl/>
              <w:adjustRightInd w:val="0"/>
              <w:snapToGrid w:val="0"/>
              <w:spacing w:line="100" w:lineRule="atLeast"/>
              <w:jc w:val="center"/>
              <w:textAlignment w:val="center"/>
              <w:rPr>
                <w:rFonts w:hint="eastAsia" w:ascii="宋体" w:hAnsi="宋体" w:eastAsia="宋体" w:cs="宋体"/>
                <w:color w:val="000000"/>
                <w:kern w:val="0"/>
                <w:sz w:val="24"/>
                <w:szCs w:val="24"/>
                <w:highlight w:val="none"/>
                <w:lang w:bidi="ar"/>
              </w:rPr>
            </w:pPr>
          </w:p>
        </w:tc>
        <w:tc>
          <w:tcPr>
            <w:tcW w:w="870" w:type="dxa"/>
            <w:noWrap w:val="0"/>
            <w:tcMar>
              <w:top w:w="15" w:type="dxa"/>
              <w:left w:w="15" w:type="dxa"/>
              <w:bottom w:w="15" w:type="dxa"/>
              <w:right w:w="15" w:type="dxa"/>
            </w:tcMar>
            <w:vAlign w:val="center"/>
          </w:tcPr>
          <w:p w14:paraId="71FCC419">
            <w:pPr>
              <w:widowControl/>
              <w:adjustRightInd w:val="0"/>
              <w:snapToGrid w:val="0"/>
              <w:spacing w:line="100" w:lineRule="atLeast"/>
              <w:jc w:val="center"/>
              <w:textAlignment w:val="center"/>
              <w:rPr>
                <w:rFonts w:hint="eastAsia" w:ascii="宋体" w:hAnsi="宋体" w:eastAsia="宋体" w:cs="宋体"/>
                <w:color w:val="000000"/>
                <w:kern w:val="0"/>
                <w:sz w:val="24"/>
                <w:szCs w:val="24"/>
                <w:highlight w:val="none"/>
                <w:lang w:bidi="ar"/>
              </w:rPr>
            </w:pPr>
          </w:p>
        </w:tc>
      </w:tr>
      <w:tr w14:paraId="1939691F">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108" w:type="dxa"/>
            <w:bottom w:w="0" w:type="dxa"/>
            <w:right w:w="108" w:type="dxa"/>
          </w:tblCellMar>
        </w:tblPrEx>
        <w:trPr>
          <w:trHeight w:val="503" w:hRule="atLeast"/>
          <w:jc w:val="center"/>
        </w:trPr>
        <w:tc>
          <w:tcPr>
            <w:tcW w:w="1186" w:type="dxa"/>
            <w:vMerge w:val="continue"/>
            <w:noWrap w:val="0"/>
            <w:vAlign w:val="center"/>
          </w:tcPr>
          <w:p w14:paraId="7F000677">
            <w:pPr>
              <w:widowControl/>
              <w:adjustRightInd w:val="0"/>
              <w:snapToGrid w:val="0"/>
              <w:spacing w:line="100" w:lineRule="atLeast"/>
              <w:jc w:val="center"/>
              <w:rPr>
                <w:rFonts w:hint="eastAsia" w:ascii="宋体" w:hAnsi="宋体" w:eastAsia="宋体" w:cs="宋体"/>
                <w:color w:val="000000"/>
                <w:sz w:val="24"/>
                <w:szCs w:val="24"/>
                <w:highlight w:val="none"/>
              </w:rPr>
            </w:pPr>
          </w:p>
        </w:tc>
        <w:tc>
          <w:tcPr>
            <w:tcW w:w="522" w:type="dxa"/>
            <w:noWrap w:val="0"/>
            <w:tcMar>
              <w:top w:w="15" w:type="dxa"/>
              <w:left w:w="15" w:type="dxa"/>
              <w:bottom w:w="15" w:type="dxa"/>
              <w:right w:w="15" w:type="dxa"/>
            </w:tcMar>
            <w:vAlign w:val="center"/>
          </w:tcPr>
          <w:p w14:paraId="60D4EB8F">
            <w:pPr>
              <w:widowControl/>
              <w:adjustRightInd w:val="0"/>
              <w:snapToGrid w:val="0"/>
              <w:spacing w:line="100" w:lineRule="atLeast"/>
              <w:jc w:val="center"/>
              <w:textAlignment w:val="center"/>
              <w:rPr>
                <w:rFonts w:hint="eastAsia" w:ascii="宋体" w:hAnsi="宋体" w:eastAsia="宋体" w:cs="宋体"/>
                <w:color w:val="000000"/>
                <w:sz w:val="24"/>
                <w:szCs w:val="24"/>
                <w:highlight w:val="none"/>
              </w:rPr>
            </w:pPr>
            <w:r>
              <w:rPr>
                <w:rFonts w:hint="eastAsia" w:ascii="宋体" w:hAnsi="宋体" w:eastAsia="宋体" w:cs="宋体"/>
                <w:color w:val="000000"/>
                <w:kern w:val="0"/>
                <w:sz w:val="24"/>
                <w:szCs w:val="24"/>
                <w:highlight w:val="none"/>
                <w:lang w:bidi="ar"/>
              </w:rPr>
              <w:t>3</w:t>
            </w:r>
          </w:p>
        </w:tc>
        <w:tc>
          <w:tcPr>
            <w:tcW w:w="4050" w:type="dxa"/>
            <w:noWrap w:val="0"/>
            <w:tcMar>
              <w:top w:w="15" w:type="dxa"/>
              <w:left w:w="15" w:type="dxa"/>
              <w:bottom w:w="15" w:type="dxa"/>
              <w:right w:w="15" w:type="dxa"/>
            </w:tcMar>
            <w:vAlign w:val="center"/>
          </w:tcPr>
          <w:p w14:paraId="7C70E7D0">
            <w:pPr>
              <w:widowControl/>
              <w:adjustRightInd w:val="0"/>
              <w:snapToGrid w:val="0"/>
              <w:spacing w:line="100" w:lineRule="atLeast"/>
              <w:textAlignment w:val="center"/>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医院职工满意度</w:t>
            </w:r>
            <w:r>
              <w:rPr>
                <w:rFonts w:hint="eastAsia" w:ascii="宋体" w:hAnsi="宋体" w:cs="宋体"/>
                <w:color w:val="000000"/>
                <w:sz w:val="24"/>
                <w:szCs w:val="24"/>
                <w:highlight w:val="none"/>
                <w:lang w:val="en-US" w:eastAsia="zh-CN"/>
              </w:rPr>
              <w:t>，达95%不扣分，每降低5%进行一次扣分</w:t>
            </w:r>
          </w:p>
        </w:tc>
        <w:tc>
          <w:tcPr>
            <w:tcW w:w="735" w:type="dxa"/>
            <w:noWrap w:val="0"/>
            <w:tcMar>
              <w:top w:w="15" w:type="dxa"/>
              <w:left w:w="15" w:type="dxa"/>
              <w:bottom w:w="15" w:type="dxa"/>
              <w:right w:w="15" w:type="dxa"/>
            </w:tcMar>
            <w:vAlign w:val="center"/>
          </w:tcPr>
          <w:p w14:paraId="0C5DD1BB">
            <w:pPr>
              <w:widowControl/>
              <w:adjustRightInd w:val="0"/>
              <w:snapToGrid w:val="0"/>
              <w:spacing w:line="100" w:lineRule="atLeast"/>
              <w:jc w:val="center"/>
              <w:textAlignment w:val="center"/>
              <w:rPr>
                <w:rFonts w:hint="eastAsia" w:ascii="宋体" w:hAnsi="宋体" w:eastAsia="宋体" w:cs="宋体"/>
                <w:color w:val="000000"/>
                <w:kern w:val="0"/>
                <w:sz w:val="24"/>
                <w:szCs w:val="24"/>
                <w:highlight w:val="none"/>
                <w:lang w:val="en-US" w:eastAsia="zh-CN" w:bidi="ar"/>
              </w:rPr>
            </w:pPr>
            <w:r>
              <w:rPr>
                <w:rFonts w:hint="eastAsia" w:ascii="宋体" w:hAnsi="宋体" w:eastAsia="宋体" w:cs="宋体"/>
                <w:color w:val="000000"/>
                <w:kern w:val="0"/>
                <w:sz w:val="24"/>
                <w:szCs w:val="24"/>
                <w:highlight w:val="none"/>
                <w:lang w:val="en-US" w:eastAsia="zh-CN" w:bidi="ar"/>
              </w:rPr>
              <w:t>10</w:t>
            </w:r>
          </w:p>
        </w:tc>
        <w:tc>
          <w:tcPr>
            <w:tcW w:w="1305" w:type="dxa"/>
            <w:noWrap w:val="0"/>
            <w:tcMar>
              <w:top w:w="15" w:type="dxa"/>
              <w:left w:w="15" w:type="dxa"/>
              <w:bottom w:w="15" w:type="dxa"/>
              <w:right w:w="15" w:type="dxa"/>
            </w:tcMar>
            <w:vAlign w:val="center"/>
          </w:tcPr>
          <w:p w14:paraId="33432E51">
            <w:pPr>
              <w:widowControl/>
              <w:adjustRightInd w:val="0"/>
              <w:snapToGrid w:val="0"/>
              <w:spacing w:line="100" w:lineRule="atLeast"/>
              <w:jc w:val="center"/>
              <w:textAlignment w:val="center"/>
              <w:rPr>
                <w:rFonts w:hint="default" w:ascii="宋体" w:hAnsi="宋体" w:eastAsia="宋体" w:cs="宋体"/>
                <w:color w:val="000000"/>
                <w:kern w:val="0"/>
                <w:sz w:val="24"/>
                <w:szCs w:val="24"/>
                <w:highlight w:val="none"/>
                <w:lang w:val="en-US" w:eastAsia="zh-CN" w:bidi="ar"/>
              </w:rPr>
            </w:pPr>
            <w:r>
              <w:rPr>
                <w:rFonts w:hint="eastAsia" w:ascii="宋体" w:hAnsi="宋体" w:cs="宋体"/>
                <w:color w:val="000000"/>
                <w:kern w:val="0"/>
                <w:sz w:val="24"/>
                <w:szCs w:val="24"/>
                <w:highlight w:val="none"/>
                <w:lang w:val="en-US" w:eastAsia="zh-CN" w:bidi="ar"/>
              </w:rPr>
              <w:t>2</w:t>
            </w:r>
          </w:p>
        </w:tc>
        <w:tc>
          <w:tcPr>
            <w:tcW w:w="820" w:type="dxa"/>
            <w:noWrap w:val="0"/>
            <w:tcMar>
              <w:top w:w="15" w:type="dxa"/>
              <w:left w:w="15" w:type="dxa"/>
              <w:bottom w:w="15" w:type="dxa"/>
              <w:right w:w="15" w:type="dxa"/>
            </w:tcMar>
            <w:vAlign w:val="center"/>
          </w:tcPr>
          <w:p w14:paraId="08C33E9B">
            <w:pPr>
              <w:widowControl/>
              <w:adjustRightInd w:val="0"/>
              <w:snapToGrid w:val="0"/>
              <w:spacing w:line="100" w:lineRule="atLeast"/>
              <w:jc w:val="center"/>
              <w:textAlignment w:val="center"/>
              <w:rPr>
                <w:rFonts w:hint="eastAsia" w:ascii="宋体" w:hAnsi="宋体" w:eastAsia="宋体" w:cs="宋体"/>
                <w:color w:val="000000"/>
                <w:kern w:val="0"/>
                <w:sz w:val="24"/>
                <w:szCs w:val="24"/>
                <w:highlight w:val="none"/>
                <w:lang w:bidi="ar"/>
              </w:rPr>
            </w:pPr>
          </w:p>
        </w:tc>
        <w:tc>
          <w:tcPr>
            <w:tcW w:w="870" w:type="dxa"/>
            <w:noWrap w:val="0"/>
            <w:tcMar>
              <w:top w:w="15" w:type="dxa"/>
              <w:left w:w="15" w:type="dxa"/>
              <w:bottom w:w="15" w:type="dxa"/>
              <w:right w:w="15" w:type="dxa"/>
            </w:tcMar>
            <w:vAlign w:val="center"/>
          </w:tcPr>
          <w:p w14:paraId="518851AE">
            <w:pPr>
              <w:widowControl/>
              <w:adjustRightInd w:val="0"/>
              <w:snapToGrid w:val="0"/>
              <w:spacing w:line="100" w:lineRule="atLeast"/>
              <w:jc w:val="center"/>
              <w:textAlignment w:val="center"/>
              <w:rPr>
                <w:rFonts w:hint="eastAsia" w:ascii="宋体" w:hAnsi="宋体" w:eastAsia="宋体" w:cs="宋体"/>
                <w:color w:val="000000"/>
                <w:kern w:val="0"/>
                <w:sz w:val="24"/>
                <w:szCs w:val="24"/>
                <w:highlight w:val="none"/>
                <w:lang w:bidi="ar"/>
              </w:rPr>
            </w:pPr>
          </w:p>
        </w:tc>
      </w:tr>
      <w:tr w14:paraId="25CCBC2D">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108" w:type="dxa"/>
            <w:bottom w:w="0" w:type="dxa"/>
            <w:right w:w="108" w:type="dxa"/>
          </w:tblCellMar>
        </w:tblPrEx>
        <w:trPr>
          <w:trHeight w:val="533" w:hRule="atLeast"/>
          <w:jc w:val="center"/>
        </w:trPr>
        <w:tc>
          <w:tcPr>
            <w:tcW w:w="1186" w:type="dxa"/>
            <w:vMerge w:val="continue"/>
            <w:noWrap w:val="0"/>
            <w:vAlign w:val="center"/>
          </w:tcPr>
          <w:p w14:paraId="3E175324">
            <w:pPr>
              <w:widowControl/>
              <w:adjustRightInd w:val="0"/>
              <w:snapToGrid w:val="0"/>
              <w:spacing w:line="100" w:lineRule="atLeast"/>
              <w:jc w:val="center"/>
              <w:rPr>
                <w:rFonts w:hint="eastAsia" w:ascii="宋体" w:hAnsi="宋体" w:eastAsia="宋体" w:cs="宋体"/>
                <w:color w:val="000000"/>
                <w:sz w:val="24"/>
                <w:szCs w:val="24"/>
                <w:highlight w:val="none"/>
              </w:rPr>
            </w:pPr>
          </w:p>
        </w:tc>
        <w:tc>
          <w:tcPr>
            <w:tcW w:w="522" w:type="dxa"/>
            <w:noWrap w:val="0"/>
            <w:tcMar>
              <w:top w:w="15" w:type="dxa"/>
              <w:left w:w="15" w:type="dxa"/>
              <w:bottom w:w="15" w:type="dxa"/>
              <w:right w:w="15" w:type="dxa"/>
            </w:tcMar>
            <w:vAlign w:val="center"/>
          </w:tcPr>
          <w:p w14:paraId="66B63027">
            <w:pPr>
              <w:widowControl/>
              <w:adjustRightInd w:val="0"/>
              <w:snapToGrid w:val="0"/>
              <w:spacing w:line="100" w:lineRule="atLeast"/>
              <w:jc w:val="center"/>
              <w:textAlignment w:val="center"/>
              <w:rPr>
                <w:rFonts w:hint="eastAsia" w:ascii="宋体" w:hAnsi="宋体" w:eastAsia="宋体" w:cs="宋体"/>
                <w:color w:val="000000"/>
                <w:sz w:val="24"/>
                <w:szCs w:val="24"/>
                <w:highlight w:val="none"/>
              </w:rPr>
            </w:pPr>
            <w:r>
              <w:rPr>
                <w:rFonts w:hint="eastAsia" w:ascii="宋体" w:hAnsi="宋体" w:eastAsia="宋体" w:cs="宋体"/>
                <w:color w:val="000000"/>
                <w:kern w:val="0"/>
                <w:sz w:val="24"/>
                <w:szCs w:val="24"/>
                <w:highlight w:val="none"/>
                <w:lang w:bidi="ar"/>
              </w:rPr>
              <w:t>4</w:t>
            </w:r>
          </w:p>
        </w:tc>
        <w:tc>
          <w:tcPr>
            <w:tcW w:w="4050" w:type="dxa"/>
            <w:noWrap w:val="0"/>
            <w:tcMar>
              <w:top w:w="15" w:type="dxa"/>
              <w:left w:w="15" w:type="dxa"/>
              <w:bottom w:w="15" w:type="dxa"/>
              <w:right w:w="15" w:type="dxa"/>
            </w:tcMar>
            <w:vAlign w:val="center"/>
          </w:tcPr>
          <w:p w14:paraId="11A8B3BC">
            <w:pPr>
              <w:widowControl/>
              <w:adjustRightInd w:val="0"/>
              <w:snapToGrid w:val="0"/>
              <w:spacing w:line="100" w:lineRule="atLeast"/>
              <w:textAlignment w:val="center"/>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医院病人满意度</w:t>
            </w:r>
            <w:r>
              <w:rPr>
                <w:rFonts w:hint="eastAsia" w:ascii="宋体" w:hAnsi="宋体" w:cs="宋体"/>
                <w:color w:val="000000"/>
                <w:sz w:val="24"/>
                <w:szCs w:val="24"/>
                <w:highlight w:val="none"/>
                <w:lang w:val="en-US" w:eastAsia="zh-CN"/>
              </w:rPr>
              <w:t>，达95%不扣分，每降低5%进行一次扣分</w:t>
            </w:r>
          </w:p>
        </w:tc>
        <w:tc>
          <w:tcPr>
            <w:tcW w:w="735" w:type="dxa"/>
            <w:noWrap w:val="0"/>
            <w:tcMar>
              <w:top w:w="15" w:type="dxa"/>
              <w:left w:w="15" w:type="dxa"/>
              <w:bottom w:w="15" w:type="dxa"/>
              <w:right w:w="15" w:type="dxa"/>
            </w:tcMar>
            <w:vAlign w:val="center"/>
          </w:tcPr>
          <w:p w14:paraId="77E783DF">
            <w:pPr>
              <w:widowControl/>
              <w:adjustRightInd w:val="0"/>
              <w:snapToGrid w:val="0"/>
              <w:spacing w:line="100" w:lineRule="atLeast"/>
              <w:jc w:val="center"/>
              <w:textAlignment w:val="center"/>
              <w:rPr>
                <w:rFonts w:hint="eastAsia" w:ascii="宋体" w:hAnsi="宋体" w:eastAsia="宋体" w:cs="宋体"/>
                <w:color w:val="000000"/>
                <w:kern w:val="0"/>
                <w:sz w:val="24"/>
                <w:szCs w:val="24"/>
                <w:highlight w:val="none"/>
                <w:lang w:val="en-US" w:eastAsia="zh-CN" w:bidi="ar"/>
              </w:rPr>
            </w:pPr>
            <w:r>
              <w:rPr>
                <w:rFonts w:hint="eastAsia" w:ascii="宋体" w:hAnsi="宋体" w:eastAsia="宋体" w:cs="宋体"/>
                <w:color w:val="000000"/>
                <w:kern w:val="0"/>
                <w:sz w:val="24"/>
                <w:szCs w:val="24"/>
                <w:highlight w:val="none"/>
                <w:lang w:val="en-US" w:eastAsia="zh-CN" w:bidi="ar"/>
              </w:rPr>
              <w:t>10</w:t>
            </w:r>
          </w:p>
        </w:tc>
        <w:tc>
          <w:tcPr>
            <w:tcW w:w="1305" w:type="dxa"/>
            <w:noWrap w:val="0"/>
            <w:tcMar>
              <w:top w:w="15" w:type="dxa"/>
              <w:left w:w="15" w:type="dxa"/>
              <w:bottom w:w="15" w:type="dxa"/>
              <w:right w:w="15" w:type="dxa"/>
            </w:tcMar>
            <w:vAlign w:val="center"/>
          </w:tcPr>
          <w:p w14:paraId="5B7D3CA7">
            <w:pPr>
              <w:widowControl/>
              <w:adjustRightInd w:val="0"/>
              <w:snapToGrid w:val="0"/>
              <w:spacing w:line="100" w:lineRule="atLeast"/>
              <w:jc w:val="center"/>
              <w:textAlignment w:val="center"/>
              <w:rPr>
                <w:rFonts w:hint="default" w:ascii="宋体" w:hAnsi="宋体" w:eastAsia="宋体" w:cs="宋体"/>
                <w:color w:val="000000"/>
                <w:kern w:val="0"/>
                <w:sz w:val="24"/>
                <w:szCs w:val="24"/>
                <w:highlight w:val="none"/>
                <w:lang w:val="en-US" w:eastAsia="zh-CN" w:bidi="ar"/>
              </w:rPr>
            </w:pPr>
            <w:r>
              <w:rPr>
                <w:rFonts w:hint="eastAsia" w:ascii="宋体" w:hAnsi="宋体" w:cs="宋体"/>
                <w:color w:val="000000"/>
                <w:kern w:val="0"/>
                <w:sz w:val="24"/>
                <w:szCs w:val="24"/>
                <w:highlight w:val="none"/>
                <w:lang w:val="en-US" w:eastAsia="zh-CN" w:bidi="ar"/>
              </w:rPr>
              <w:t>2</w:t>
            </w:r>
          </w:p>
        </w:tc>
        <w:tc>
          <w:tcPr>
            <w:tcW w:w="820" w:type="dxa"/>
            <w:noWrap w:val="0"/>
            <w:tcMar>
              <w:top w:w="15" w:type="dxa"/>
              <w:left w:w="15" w:type="dxa"/>
              <w:bottom w:w="15" w:type="dxa"/>
              <w:right w:w="15" w:type="dxa"/>
            </w:tcMar>
            <w:vAlign w:val="center"/>
          </w:tcPr>
          <w:p w14:paraId="519E0296">
            <w:pPr>
              <w:widowControl/>
              <w:adjustRightInd w:val="0"/>
              <w:snapToGrid w:val="0"/>
              <w:spacing w:line="100" w:lineRule="atLeast"/>
              <w:jc w:val="center"/>
              <w:textAlignment w:val="center"/>
              <w:rPr>
                <w:rFonts w:hint="eastAsia" w:ascii="宋体" w:hAnsi="宋体" w:eastAsia="宋体" w:cs="宋体"/>
                <w:color w:val="000000"/>
                <w:kern w:val="0"/>
                <w:sz w:val="24"/>
                <w:szCs w:val="24"/>
                <w:highlight w:val="none"/>
                <w:lang w:bidi="ar"/>
              </w:rPr>
            </w:pPr>
          </w:p>
        </w:tc>
        <w:tc>
          <w:tcPr>
            <w:tcW w:w="870" w:type="dxa"/>
            <w:noWrap w:val="0"/>
            <w:tcMar>
              <w:top w:w="15" w:type="dxa"/>
              <w:left w:w="15" w:type="dxa"/>
              <w:bottom w:w="15" w:type="dxa"/>
              <w:right w:w="15" w:type="dxa"/>
            </w:tcMar>
            <w:vAlign w:val="center"/>
          </w:tcPr>
          <w:p w14:paraId="0FF34849">
            <w:pPr>
              <w:widowControl/>
              <w:adjustRightInd w:val="0"/>
              <w:snapToGrid w:val="0"/>
              <w:spacing w:line="100" w:lineRule="atLeast"/>
              <w:jc w:val="center"/>
              <w:textAlignment w:val="center"/>
              <w:rPr>
                <w:rFonts w:hint="eastAsia" w:ascii="宋体" w:hAnsi="宋体" w:eastAsia="宋体" w:cs="宋体"/>
                <w:color w:val="000000"/>
                <w:kern w:val="0"/>
                <w:sz w:val="24"/>
                <w:szCs w:val="24"/>
                <w:highlight w:val="none"/>
                <w:lang w:bidi="ar"/>
              </w:rPr>
            </w:pPr>
          </w:p>
        </w:tc>
      </w:tr>
      <w:tr w14:paraId="09E5F9C4">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108" w:type="dxa"/>
            <w:bottom w:w="0" w:type="dxa"/>
            <w:right w:w="108" w:type="dxa"/>
          </w:tblCellMar>
        </w:tblPrEx>
        <w:trPr>
          <w:trHeight w:val="713" w:hRule="atLeast"/>
          <w:jc w:val="center"/>
        </w:trPr>
        <w:tc>
          <w:tcPr>
            <w:tcW w:w="1186" w:type="dxa"/>
            <w:vMerge w:val="restart"/>
            <w:noWrap w:val="0"/>
            <w:tcMar>
              <w:top w:w="15" w:type="dxa"/>
              <w:left w:w="15" w:type="dxa"/>
              <w:bottom w:w="15" w:type="dxa"/>
              <w:right w:w="15" w:type="dxa"/>
            </w:tcMar>
            <w:vAlign w:val="center"/>
          </w:tcPr>
          <w:p w14:paraId="38E41E7A">
            <w:pPr>
              <w:widowControl/>
              <w:adjustRightInd w:val="0"/>
              <w:snapToGrid w:val="0"/>
              <w:spacing w:line="100" w:lineRule="atLeast"/>
              <w:jc w:val="center"/>
              <w:textAlignment w:val="center"/>
              <w:rPr>
                <w:rFonts w:hint="eastAsia" w:ascii="宋体" w:hAnsi="宋体" w:eastAsia="宋体" w:cs="宋体"/>
                <w:color w:val="000000"/>
                <w:sz w:val="24"/>
                <w:szCs w:val="24"/>
                <w:highlight w:val="none"/>
              </w:rPr>
            </w:pPr>
            <w:r>
              <w:rPr>
                <w:rFonts w:hint="eastAsia" w:ascii="宋体" w:hAnsi="宋体" w:eastAsia="宋体" w:cs="宋体"/>
                <w:color w:val="000000"/>
                <w:kern w:val="0"/>
                <w:sz w:val="24"/>
                <w:szCs w:val="24"/>
                <w:highlight w:val="none"/>
                <w:lang w:bidi="ar"/>
              </w:rPr>
              <w:t>2.从业人员管理</w:t>
            </w:r>
          </w:p>
        </w:tc>
        <w:tc>
          <w:tcPr>
            <w:tcW w:w="522" w:type="dxa"/>
            <w:noWrap w:val="0"/>
            <w:tcMar>
              <w:top w:w="15" w:type="dxa"/>
              <w:left w:w="15" w:type="dxa"/>
              <w:bottom w:w="15" w:type="dxa"/>
              <w:right w:w="15" w:type="dxa"/>
            </w:tcMar>
            <w:vAlign w:val="center"/>
          </w:tcPr>
          <w:p w14:paraId="2838BEBE">
            <w:pPr>
              <w:widowControl/>
              <w:adjustRightInd w:val="0"/>
              <w:snapToGrid w:val="0"/>
              <w:spacing w:line="100" w:lineRule="atLeast"/>
              <w:jc w:val="center"/>
              <w:textAlignment w:val="center"/>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5</w:t>
            </w:r>
          </w:p>
        </w:tc>
        <w:tc>
          <w:tcPr>
            <w:tcW w:w="4050" w:type="dxa"/>
            <w:noWrap w:val="0"/>
            <w:tcMar>
              <w:top w:w="15" w:type="dxa"/>
              <w:left w:w="15" w:type="dxa"/>
              <w:bottom w:w="15" w:type="dxa"/>
              <w:right w:w="15" w:type="dxa"/>
            </w:tcMar>
            <w:vAlign w:val="center"/>
          </w:tcPr>
          <w:p w14:paraId="45E281E8">
            <w:pPr>
              <w:widowControl/>
              <w:adjustRightInd w:val="0"/>
              <w:snapToGrid w:val="0"/>
              <w:spacing w:line="100" w:lineRule="atLeast"/>
              <w:textAlignment w:val="center"/>
              <w:rPr>
                <w:rFonts w:hint="eastAsia" w:ascii="宋体" w:hAnsi="宋体" w:eastAsia="宋体" w:cs="宋体"/>
                <w:color w:val="000000"/>
                <w:sz w:val="24"/>
                <w:szCs w:val="24"/>
                <w:highlight w:val="none"/>
              </w:rPr>
            </w:pPr>
            <w:r>
              <w:rPr>
                <w:rFonts w:hint="eastAsia" w:ascii="宋体" w:hAnsi="宋体" w:eastAsia="宋体" w:cs="宋体"/>
                <w:color w:val="000000"/>
                <w:kern w:val="0"/>
                <w:sz w:val="24"/>
                <w:szCs w:val="24"/>
                <w:highlight w:val="none"/>
                <w:lang w:bidi="ar"/>
              </w:rPr>
              <w:t>有碍食品安全疾病的人员及时调离接触直接入口食品工作岗位。</w:t>
            </w:r>
          </w:p>
        </w:tc>
        <w:tc>
          <w:tcPr>
            <w:tcW w:w="735" w:type="dxa"/>
            <w:noWrap w:val="0"/>
            <w:tcMar>
              <w:top w:w="15" w:type="dxa"/>
              <w:left w:w="15" w:type="dxa"/>
              <w:bottom w:w="15" w:type="dxa"/>
              <w:right w:w="15" w:type="dxa"/>
            </w:tcMar>
            <w:vAlign w:val="center"/>
          </w:tcPr>
          <w:p w14:paraId="18257B07">
            <w:pPr>
              <w:widowControl/>
              <w:adjustRightInd w:val="0"/>
              <w:snapToGrid w:val="0"/>
              <w:spacing w:line="100" w:lineRule="atLeast"/>
              <w:jc w:val="center"/>
              <w:textAlignment w:val="center"/>
              <w:rPr>
                <w:rFonts w:hint="eastAsia" w:ascii="宋体" w:hAnsi="宋体" w:eastAsia="宋体" w:cs="宋体"/>
                <w:color w:val="000000"/>
                <w:kern w:val="0"/>
                <w:sz w:val="24"/>
                <w:szCs w:val="24"/>
                <w:highlight w:val="none"/>
                <w:lang w:val="en-US" w:eastAsia="zh-CN" w:bidi="ar"/>
              </w:rPr>
            </w:pPr>
            <w:r>
              <w:rPr>
                <w:rFonts w:hint="eastAsia" w:ascii="宋体" w:hAnsi="宋体" w:eastAsia="宋体" w:cs="宋体"/>
                <w:color w:val="000000"/>
                <w:kern w:val="0"/>
                <w:sz w:val="24"/>
                <w:szCs w:val="24"/>
                <w:highlight w:val="none"/>
                <w:lang w:val="en-US" w:eastAsia="zh-CN" w:bidi="ar"/>
              </w:rPr>
              <w:t>5</w:t>
            </w:r>
          </w:p>
        </w:tc>
        <w:tc>
          <w:tcPr>
            <w:tcW w:w="1305" w:type="dxa"/>
            <w:noWrap w:val="0"/>
            <w:tcMar>
              <w:top w:w="15" w:type="dxa"/>
              <w:left w:w="15" w:type="dxa"/>
              <w:bottom w:w="15" w:type="dxa"/>
              <w:right w:w="15" w:type="dxa"/>
            </w:tcMar>
            <w:vAlign w:val="center"/>
          </w:tcPr>
          <w:p w14:paraId="069C96D2">
            <w:pPr>
              <w:widowControl/>
              <w:adjustRightInd w:val="0"/>
              <w:snapToGrid w:val="0"/>
              <w:spacing w:line="100" w:lineRule="atLeast"/>
              <w:jc w:val="center"/>
              <w:textAlignment w:val="center"/>
              <w:rPr>
                <w:rFonts w:hint="default" w:ascii="宋体" w:hAnsi="宋体" w:eastAsia="宋体" w:cs="宋体"/>
                <w:color w:val="000000"/>
                <w:kern w:val="0"/>
                <w:sz w:val="24"/>
                <w:szCs w:val="24"/>
                <w:highlight w:val="none"/>
                <w:lang w:val="en-US" w:eastAsia="zh-CN" w:bidi="ar"/>
              </w:rPr>
            </w:pPr>
            <w:r>
              <w:rPr>
                <w:rFonts w:hint="eastAsia" w:ascii="宋体" w:hAnsi="宋体" w:cs="宋体"/>
                <w:color w:val="000000"/>
                <w:kern w:val="0"/>
                <w:sz w:val="24"/>
                <w:szCs w:val="24"/>
                <w:highlight w:val="none"/>
                <w:lang w:val="en-US" w:eastAsia="zh-CN" w:bidi="ar"/>
              </w:rPr>
              <w:t>1</w:t>
            </w:r>
          </w:p>
        </w:tc>
        <w:tc>
          <w:tcPr>
            <w:tcW w:w="820" w:type="dxa"/>
            <w:noWrap w:val="0"/>
            <w:tcMar>
              <w:top w:w="15" w:type="dxa"/>
              <w:left w:w="15" w:type="dxa"/>
              <w:bottom w:w="15" w:type="dxa"/>
              <w:right w:w="15" w:type="dxa"/>
            </w:tcMar>
            <w:vAlign w:val="center"/>
          </w:tcPr>
          <w:p w14:paraId="65999DE1">
            <w:pPr>
              <w:widowControl/>
              <w:adjustRightInd w:val="0"/>
              <w:snapToGrid w:val="0"/>
              <w:spacing w:line="100" w:lineRule="atLeast"/>
              <w:jc w:val="center"/>
              <w:textAlignment w:val="center"/>
              <w:rPr>
                <w:rFonts w:hint="eastAsia" w:ascii="宋体" w:hAnsi="宋体" w:eastAsia="宋体" w:cs="宋体"/>
                <w:color w:val="000000"/>
                <w:kern w:val="0"/>
                <w:sz w:val="24"/>
                <w:szCs w:val="24"/>
                <w:highlight w:val="none"/>
                <w:lang w:bidi="ar"/>
              </w:rPr>
            </w:pPr>
          </w:p>
        </w:tc>
        <w:tc>
          <w:tcPr>
            <w:tcW w:w="870" w:type="dxa"/>
            <w:noWrap w:val="0"/>
            <w:tcMar>
              <w:top w:w="15" w:type="dxa"/>
              <w:left w:w="15" w:type="dxa"/>
              <w:bottom w:w="15" w:type="dxa"/>
              <w:right w:w="15" w:type="dxa"/>
            </w:tcMar>
            <w:vAlign w:val="center"/>
          </w:tcPr>
          <w:p w14:paraId="7084F974">
            <w:pPr>
              <w:widowControl/>
              <w:adjustRightInd w:val="0"/>
              <w:snapToGrid w:val="0"/>
              <w:spacing w:line="100" w:lineRule="atLeast"/>
              <w:jc w:val="center"/>
              <w:textAlignment w:val="center"/>
              <w:rPr>
                <w:rFonts w:hint="eastAsia" w:ascii="宋体" w:hAnsi="宋体" w:eastAsia="宋体" w:cs="宋体"/>
                <w:color w:val="000000"/>
                <w:kern w:val="0"/>
                <w:sz w:val="24"/>
                <w:szCs w:val="24"/>
                <w:highlight w:val="none"/>
                <w:lang w:bidi="ar"/>
              </w:rPr>
            </w:pPr>
          </w:p>
        </w:tc>
      </w:tr>
      <w:tr w14:paraId="0E922A2D">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108" w:type="dxa"/>
            <w:bottom w:w="0" w:type="dxa"/>
            <w:right w:w="108" w:type="dxa"/>
          </w:tblCellMar>
        </w:tblPrEx>
        <w:trPr>
          <w:trHeight w:val="502" w:hRule="atLeast"/>
          <w:jc w:val="center"/>
        </w:trPr>
        <w:tc>
          <w:tcPr>
            <w:tcW w:w="1186" w:type="dxa"/>
            <w:vMerge w:val="continue"/>
            <w:noWrap w:val="0"/>
            <w:vAlign w:val="center"/>
          </w:tcPr>
          <w:p w14:paraId="5AAC98DD">
            <w:pPr>
              <w:widowControl/>
              <w:adjustRightInd w:val="0"/>
              <w:snapToGrid w:val="0"/>
              <w:spacing w:line="100" w:lineRule="atLeast"/>
              <w:jc w:val="center"/>
              <w:rPr>
                <w:rFonts w:hint="eastAsia" w:ascii="宋体" w:hAnsi="宋体" w:eastAsia="宋体" w:cs="宋体"/>
                <w:color w:val="000000"/>
                <w:sz w:val="24"/>
                <w:szCs w:val="24"/>
                <w:highlight w:val="none"/>
              </w:rPr>
            </w:pPr>
          </w:p>
        </w:tc>
        <w:tc>
          <w:tcPr>
            <w:tcW w:w="522" w:type="dxa"/>
            <w:noWrap w:val="0"/>
            <w:tcMar>
              <w:top w:w="15" w:type="dxa"/>
              <w:left w:w="15" w:type="dxa"/>
              <w:bottom w:w="15" w:type="dxa"/>
              <w:right w:w="15" w:type="dxa"/>
            </w:tcMar>
            <w:vAlign w:val="center"/>
          </w:tcPr>
          <w:p w14:paraId="57B412C5">
            <w:pPr>
              <w:widowControl/>
              <w:adjustRightInd w:val="0"/>
              <w:snapToGrid w:val="0"/>
              <w:spacing w:line="100" w:lineRule="atLeast"/>
              <w:jc w:val="center"/>
              <w:textAlignment w:val="center"/>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6</w:t>
            </w:r>
          </w:p>
        </w:tc>
        <w:tc>
          <w:tcPr>
            <w:tcW w:w="4050" w:type="dxa"/>
            <w:noWrap w:val="0"/>
            <w:tcMar>
              <w:top w:w="15" w:type="dxa"/>
              <w:left w:w="15" w:type="dxa"/>
              <w:bottom w:w="15" w:type="dxa"/>
              <w:right w:w="15" w:type="dxa"/>
            </w:tcMar>
            <w:vAlign w:val="center"/>
          </w:tcPr>
          <w:p w14:paraId="15D2A9E0">
            <w:pPr>
              <w:widowControl/>
              <w:adjustRightInd w:val="0"/>
              <w:snapToGrid w:val="0"/>
              <w:spacing w:line="100" w:lineRule="atLeast"/>
              <w:textAlignment w:val="center"/>
              <w:rPr>
                <w:rFonts w:hint="eastAsia" w:ascii="宋体" w:hAnsi="宋体" w:eastAsia="宋体" w:cs="宋体"/>
                <w:color w:val="000000"/>
                <w:sz w:val="24"/>
                <w:szCs w:val="24"/>
                <w:highlight w:val="none"/>
              </w:rPr>
            </w:pPr>
            <w:r>
              <w:rPr>
                <w:rFonts w:hint="eastAsia" w:ascii="宋体" w:hAnsi="宋体" w:eastAsia="宋体" w:cs="宋体"/>
                <w:color w:val="000000"/>
                <w:kern w:val="0"/>
                <w:sz w:val="24"/>
                <w:szCs w:val="24"/>
                <w:highlight w:val="none"/>
                <w:lang w:bidi="ar"/>
              </w:rPr>
              <w:t>从业人员持有有效健康证明。</w:t>
            </w:r>
          </w:p>
        </w:tc>
        <w:tc>
          <w:tcPr>
            <w:tcW w:w="735" w:type="dxa"/>
            <w:noWrap w:val="0"/>
            <w:tcMar>
              <w:top w:w="15" w:type="dxa"/>
              <w:left w:w="15" w:type="dxa"/>
              <w:bottom w:w="15" w:type="dxa"/>
              <w:right w:w="15" w:type="dxa"/>
            </w:tcMar>
            <w:vAlign w:val="center"/>
          </w:tcPr>
          <w:p w14:paraId="209C3150">
            <w:pPr>
              <w:widowControl/>
              <w:adjustRightInd w:val="0"/>
              <w:snapToGrid w:val="0"/>
              <w:spacing w:line="100" w:lineRule="atLeast"/>
              <w:jc w:val="center"/>
              <w:textAlignment w:val="center"/>
              <w:rPr>
                <w:rFonts w:hint="eastAsia" w:ascii="宋体" w:hAnsi="宋体" w:eastAsia="宋体" w:cs="宋体"/>
                <w:color w:val="000000"/>
                <w:kern w:val="0"/>
                <w:sz w:val="24"/>
                <w:szCs w:val="24"/>
                <w:highlight w:val="none"/>
                <w:lang w:val="en-US" w:eastAsia="zh-CN" w:bidi="ar"/>
              </w:rPr>
            </w:pPr>
            <w:r>
              <w:rPr>
                <w:rFonts w:hint="eastAsia" w:ascii="宋体" w:hAnsi="宋体" w:eastAsia="宋体" w:cs="宋体"/>
                <w:color w:val="000000"/>
                <w:kern w:val="0"/>
                <w:sz w:val="24"/>
                <w:szCs w:val="24"/>
                <w:highlight w:val="none"/>
                <w:lang w:val="en-US" w:eastAsia="zh-CN" w:bidi="ar"/>
              </w:rPr>
              <w:t>5</w:t>
            </w:r>
          </w:p>
        </w:tc>
        <w:tc>
          <w:tcPr>
            <w:tcW w:w="1305" w:type="dxa"/>
            <w:noWrap w:val="0"/>
            <w:tcMar>
              <w:top w:w="15" w:type="dxa"/>
              <w:left w:w="15" w:type="dxa"/>
              <w:bottom w:w="15" w:type="dxa"/>
              <w:right w:w="15" w:type="dxa"/>
            </w:tcMar>
            <w:vAlign w:val="center"/>
          </w:tcPr>
          <w:p w14:paraId="7037472E">
            <w:pPr>
              <w:widowControl/>
              <w:adjustRightInd w:val="0"/>
              <w:snapToGrid w:val="0"/>
              <w:spacing w:line="100" w:lineRule="atLeast"/>
              <w:jc w:val="center"/>
              <w:textAlignment w:val="center"/>
              <w:rPr>
                <w:rFonts w:hint="default" w:ascii="宋体" w:hAnsi="宋体" w:eastAsia="宋体" w:cs="宋体"/>
                <w:color w:val="000000"/>
                <w:kern w:val="0"/>
                <w:sz w:val="24"/>
                <w:szCs w:val="24"/>
                <w:highlight w:val="none"/>
                <w:lang w:val="en-US" w:eastAsia="zh-CN" w:bidi="ar"/>
              </w:rPr>
            </w:pPr>
            <w:r>
              <w:rPr>
                <w:rFonts w:hint="eastAsia" w:ascii="宋体" w:hAnsi="宋体" w:cs="宋体"/>
                <w:color w:val="000000"/>
                <w:kern w:val="0"/>
                <w:sz w:val="24"/>
                <w:szCs w:val="24"/>
                <w:highlight w:val="none"/>
                <w:lang w:val="en-US" w:eastAsia="zh-CN" w:bidi="ar"/>
              </w:rPr>
              <w:t>1</w:t>
            </w:r>
          </w:p>
        </w:tc>
        <w:tc>
          <w:tcPr>
            <w:tcW w:w="820" w:type="dxa"/>
            <w:noWrap w:val="0"/>
            <w:tcMar>
              <w:top w:w="15" w:type="dxa"/>
              <w:left w:w="15" w:type="dxa"/>
              <w:bottom w:w="15" w:type="dxa"/>
              <w:right w:w="15" w:type="dxa"/>
            </w:tcMar>
            <w:vAlign w:val="center"/>
          </w:tcPr>
          <w:p w14:paraId="465763EE">
            <w:pPr>
              <w:widowControl/>
              <w:adjustRightInd w:val="0"/>
              <w:snapToGrid w:val="0"/>
              <w:spacing w:line="100" w:lineRule="atLeast"/>
              <w:jc w:val="center"/>
              <w:textAlignment w:val="center"/>
              <w:rPr>
                <w:rFonts w:hint="eastAsia" w:ascii="宋体" w:hAnsi="宋体" w:eastAsia="宋体" w:cs="宋体"/>
                <w:color w:val="000000"/>
                <w:kern w:val="0"/>
                <w:sz w:val="24"/>
                <w:szCs w:val="24"/>
                <w:highlight w:val="none"/>
                <w:lang w:bidi="ar"/>
              </w:rPr>
            </w:pPr>
          </w:p>
        </w:tc>
        <w:tc>
          <w:tcPr>
            <w:tcW w:w="870" w:type="dxa"/>
            <w:noWrap w:val="0"/>
            <w:tcMar>
              <w:top w:w="15" w:type="dxa"/>
              <w:left w:w="15" w:type="dxa"/>
              <w:bottom w:w="15" w:type="dxa"/>
              <w:right w:w="15" w:type="dxa"/>
            </w:tcMar>
            <w:vAlign w:val="center"/>
          </w:tcPr>
          <w:p w14:paraId="199B203E">
            <w:pPr>
              <w:widowControl/>
              <w:adjustRightInd w:val="0"/>
              <w:snapToGrid w:val="0"/>
              <w:spacing w:line="100" w:lineRule="atLeast"/>
              <w:jc w:val="center"/>
              <w:textAlignment w:val="center"/>
              <w:rPr>
                <w:rFonts w:hint="eastAsia" w:ascii="宋体" w:hAnsi="宋体" w:eastAsia="宋体" w:cs="宋体"/>
                <w:color w:val="000000"/>
                <w:kern w:val="0"/>
                <w:sz w:val="24"/>
                <w:szCs w:val="24"/>
                <w:highlight w:val="none"/>
                <w:lang w:bidi="ar"/>
              </w:rPr>
            </w:pPr>
          </w:p>
        </w:tc>
      </w:tr>
      <w:tr w14:paraId="77D0EEBA">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108" w:type="dxa"/>
            <w:bottom w:w="0" w:type="dxa"/>
            <w:right w:w="108" w:type="dxa"/>
          </w:tblCellMar>
        </w:tblPrEx>
        <w:trPr>
          <w:trHeight w:val="480" w:hRule="atLeast"/>
          <w:jc w:val="center"/>
        </w:trPr>
        <w:tc>
          <w:tcPr>
            <w:tcW w:w="1186" w:type="dxa"/>
            <w:vMerge w:val="continue"/>
            <w:noWrap w:val="0"/>
            <w:vAlign w:val="center"/>
          </w:tcPr>
          <w:p w14:paraId="59C8AEDC">
            <w:pPr>
              <w:widowControl/>
              <w:adjustRightInd w:val="0"/>
              <w:snapToGrid w:val="0"/>
              <w:spacing w:line="100" w:lineRule="atLeast"/>
              <w:jc w:val="center"/>
              <w:rPr>
                <w:rFonts w:hint="eastAsia" w:ascii="宋体" w:hAnsi="宋体" w:eastAsia="宋体" w:cs="宋体"/>
                <w:color w:val="000000"/>
                <w:sz w:val="24"/>
                <w:szCs w:val="24"/>
                <w:highlight w:val="none"/>
              </w:rPr>
            </w:pPr>
          </w:p>
        </w:tc>
        <w:tc>
          <w:tcPr>
            <w:tcW w:w="522" w:type="dxa"/>
            <w:noWrap w:val="0"/>
            <w:tcMar>
              <w:top w:w="15" w:type="dxa"/>
              <w:left w:w="15" w:type="dxa"/>
              <w:bottom w:w="15" w:type="dxa"/>
              <w:right w:w="15" w:type="dxa"/>
            </w:tcMar>
            <w:vAlign w:val="center"/>
          </w:tcPr>
          <w:p w14:paraId="3EA5EA0D">
            <w:pPr>
              <w:widowControl/>
              <w:adjustRightInd w:val="0"/>
              <w:snapToGrid w:val="0"/>
              <w:spacing w:line="100" w:lineRule="atLeast"/>
              <w:jc w:val="center"/>
              <w:textAlignment w:val="center"/>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7</w:t>
            </w:r>
          </w:p>
        </w:tc>
        <w:tc>
          <w:tcPr>
            <w:tcW w:w="4050" w:type="dxa"/>
            <w:noWrap w:val="0"/>
            <w:tcMar>
              <w:top w:w="15" w:type="dxa"/>
              <w:left w:w="15" w:type="dxa"/>
              <w:bottom w:w="15" w:type="dxa"/>
              <w:right w:w="15" w:type="dxa"/>
            </w:tcMar>
            <w:vAlign w:val="center"/>
          </w:tcPr>
          <w:p w14:paraId="58FBE205">
            <w:pPr>
              <w:widowControl/>
              <w:adjustRightInd w:val="0"/>
              <w:snapToGrid w:val="0"/>
              <w:spacing w:line="100" w:lineRule="atLeast"/>
              <w:textAlignment w:val="center"/>
              <w:rPr>
                <w:rFonts w:hint="eastAsia" w:ascii="宋体" w:hAnsi="宋体" w:eastAsia="宋体" w:cs="宋体"/>
                <w:color w:val="000000"/>
                <w:sz w:val="24"/>
                <w:szCs w:val="24"/>
                <w:highlight w:val="none"/>
              </w:rPr>
            </w:pPr>
            <w:r>
              <w:rPr>
                <w:rFonts w:hint="eastAsia" w:ascii="宋体" w:hAnsi="宋体" w:eastAsia="宋体" w:cs="宋体"/>
                <w:color w:val="000000"/>
                <w:kern w:val="0"/>
                <w:sz w:val="24"/>
                <w:szCs w:val="24"/>
                <w:highlight w:val="none"/>
                <w:lang w:bidi="ar"/>
              </w:rPr>
              <w:t>每日进行从业人员餐前自查。</w:t>
            </w:r>
          </w:p>
        </w:tc>
        <w:tc>
          <w:tcPr>
            <w:tcW w:w="735" w:type="dxa"/>
            <w:noWrap w:val="0"/>
            <w:tcMar>
              <w:top w:w="15" w:type="dxa"/>
              <w:left w:w="15" w:type="dxa"/>
              <w:bottom w:w="15" w:type="dxa"/>
              <w:right w:w="15" w:type="dxa"/>
            </w:tcMar>
            <w:vAlign w:val="center"/>
          </w:tcPr>
          <w:p w14:paraId="4781362D">
            <w:pPr>
              <w:widowControl/>
              <w:adjustRightInd w:val="0"/>
              <w:snapToGrid w:val="0"/>
              <w:spacing w:line="100" w:lineRule="atLeast"/>
              <w:jc w:val="center"/>
              <w:textAlignment w:val="center"/>
              <w:rPr>
                <w:rFonts w:hint="eastAsia" w:ascii="宋体" w:hAnsi="宋体" w:eastAsia="宋体" w:cs="宋体"/>
                <w:color w:val="000000"/>
                <w:kern w:val="0"/>
                <w:sz w:val="24"/>
                <w:szCs w:val="24"/>
                <w:highlight w:val="none"/>
                <w:lang w:val="en-US" w:eastAsia="zh-CN" w:bidi="ar"/>
              </w:rPr>
            </w:pPr>
            <w:r>
              <w:rPr>
                <w:rFonts w:hint="eastAsia" w:ascii="宋体" w:hAnsi="宋体" w:eastAsia="宋体" w:cs="宋体"/>
                <w:color w:val="000000"/>
                <w:kern w:val="0"/>
                <w:sz w:val="24"/>
                <w:szCs w:val="24"/>
                <w:highlight w:val="none"/>
                <w:lang w:val="en-US" w:eastAsia="zh-CN" w:bidi="ar"/>
              </w:rPr>
              <w:t>5</w:t>
            </w:r>
          </w:p>
        </w:tc>
        <w:tc>
          <w:tcPr>
            <w:tcW w:w="1305" w:type="dxa"/>
            <w:noWrap w:val="0"/>
            <w:tcMar>
              <w:top w:w="15" w:type="dxa"/>
              <w:left w:w="15" w:type="dxa"/>
              <w:bottom w:w="15" w:type="dxa"/>
              <w:right w:w="15" w:type="dxa"/>
            </w:tcMar>
            <w:vAlign w:val="center"/>
          </w:tcPr>
          <w:p w14:paraId="2771996A">
            <w:pPr>
              <w:widowControl/>
              <w:adjustRightInd w:val="0"/>
              <w:snapToGrid w:val="0"/>
              <w:spacing w:line="100" w:lineRule="atLeast"/>
              <w:jc w:val="center"/>
              <w:textAlignment w:val="center"/>
              <w:rPr>
                <w:rFonts w:hint="default" w:ascii="宋体" w:hAnsi="宋体" w:eastAsia="宋体" w:cs="宋体"/>
                <w:color w:val="000000"/>
                <w:kern w:val="0"/>
                <w:sz w:val="24"/>
                <w:szCs w:val="24"/>
                <w:highlight w:val="none"/>
                <w:lang w:val="en-US" w:eastAsia="zh-CN" w:bidi="ar"/>
              </w:rPr>
            </w:pPr>
            <w:r>
              <w:rPr>
                <w:rFonts w:hint="eastAsia" w:ascii="宋体" w:hAnsi="宋体" w:cs="宋体"/>
                <w:color w:val="000000"/>
                <w:kern w:val="0"/>
                <w:sz w:val="24"/>
                <w:szCs w:val="24"/>
                <w:highlight w:val="none"/>
                <w:lang w:val="en-US" w:eastAsia="zh-CN" w:bidi="ar"/>
              </w:rPr>
              <w:t>1</w:t>
            </w:r>
          </w:p>
        </w:tc>
        <w:tc>
          <w:tcPr>
            <w:tcW w:w="820" w:type="dxa"/>
            <w:noWrap w:val="0"/>
            <w:tcMar>
              <w:top w:w="15" w:type="dxa"/>
              <w:left w:w="15" w:type="dxa"/>
              <w:bottom w:w="15" w:type="dxa"/>
              <w:right w:w="15" w:type="dxa"/>
            </w:tcMar>
            <w:vAlign w:val="center"/>
          </w:tcPr>
          <w:p w14:paraId="00B30CE0">
            <w:pPr>
              <w:widowControl/>
              <w:adjustRightInd w:val="0"/>
              <w:snapToGrid w:val="0"/>
              <w:spacing w:line="100" w:lineRule="atLeast"/>
              <w:jc w:val="center"/>
              <w:textAlignment w:val="center"/>
              <w:rPr>
                <w:rFonts w:hint="eastAsia" w:ascii="宋体" w:hAnsi="宋体" w:eastAsia="宋体" w:cs="宋体"/>
                <w:color w:val="000000"/>
                <w:kern w:val="0"/>
                <w:sz w:val="24"/>
                <w:szCs w:val="24"/>
                <w:highlight w:val="none"/>
                <w:lang w:bidi="ar"/>
              </w:rPr>
            </w:pPr>
          </w:p>
        </w:tc>
        <w:tc>
          <w:tcPr>
            <w:tcW w:w="870" w:type="dxa"/>
            <w:noWrap w:val="0"/>
            <w:tcMar>
              <w:top w:w="15" w:type="dxa"/>
              <w:left w:w="15" w:type="dxa"/>
              <w:bottom w:w="15" w:type="dxa"/>
              <w:right w:w="15" w:type="dxa"/>
            </w:tcMar>
            <w:vAlign w:val="center"/>
          </w:tcPr>
          <w:p w14:paraId="1C847CAF">
            <w:pPr>
              <w:widowControl/>
              <w:adjustRightInd w:val="0"/>
              <w:snapToGrid w:val="0"/>
              <w:spacing w:line="100" w:lineRule="atLeast"/>
              <w:jc w:val="center"/>
              <w:textAlignment w:val="center"/>
              <w:rPr>
                <w:rFonts w:hint="eastAsia" w:ascii="宋体" w:hAnsi="宋体" w:eastAsia="宋体" w:cs="宋体"/>
                <w:color w:val="000000"/>
                <w:kern w:val="0"/>
                <w:sz w:val="24"/>
                <w:szCs w:val="24"/>
                <w:highlight w:val="none"/>
                <w:lang w:bidi="ar"/>
              </w:rPr>
            </w:pPr>
          </w:p>
        </w:tc>
      </w:tr>
      <w:tr w14:paraId="535DFADB">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108" w:type="dxa"/>
            <w:bottom w:w="0" w:type="dxa"/>
            <w:right w:w="108" w:type="dxa"/>
          </w:tblCellMar>
        </w:tblPrEx>
        <w:trPr>
          <w:trHeight w:val="705" w:hRule="atLeast"/>
          <w:jc w:val="center"/>
        </w:trPr>
        <w:tc>
          <w:tcPr>
            <w:tcW w:w="1186" w:type="dxa"/>
            <w:vMerge w:val="continue"/>
            <w:noWrap w:val="0"/>
            <w:vAlign w:val="center"/>
          </w:tcPr>
          <w:p w14:paraId="5D59CE30">
            <w:pPr>
              <w:widowControl/>
              <w:adjustRightInd w:val="0"/>
              <w:snapToGrid w:val="0"/>
              <w:spacing w:line="100" w:lineRule="atLeast"/>
              <w:jc w:val="center"/>
              <w:rPr>
                <w:rFonts w:hint="eastAsia" w:ascii="宋体" w:hAnsi="宋体" w:eastAsia="宋体" w:cs="宋体"/>
                <w:color w:val="000000"/>
                <w:sz w:val="24"/>
                <w:szCs w:val="24"/>
                <w:highlight w:val="none"/>
              </w:rPr>
            </w:pPr>
          </w:p>
        </w:tc>
        <w:tc>
          <w:tcPr>
            <w:tcW w:w="522" w:type="dxa"/>
            <w:noWrap w:val="0"/>
            <w:tcMar>
              <w:top w:w="15" w:type="dxa"/>
              <w:left w:w="15" w:type="dxa"/>
              <w:bottom w:w="15" w:type="dxa"/>
              <w:right w:w="15" w:type="dxa"/>
            </w:tcMar>
            <w:vAlign w:val="center"/>
          </w:tcPr>
          <w:p w14:paraId="7CA61FFF">
            <w:pPr>
              <w:widowControl/>
              <w:adjustRightInd w:val="0"/>
              <w:snapToGrid w:val="0"/>
              <w:spacing w:line="100" w:lineRule="atLeast"/>
              <w:jc w:val="center"/>
              <w:textAlignment w:val="center"/>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8</w:t>
            </w:r>
          </w:p>
        </w:tc>
        <w:tc>
          <w:tcPr>
            <w:tcW w:w="4050" w:type="dxa"/>
            <w:noWrap w:val="0"/>
            <w:tcMar>
              <w:top w:w="15" w:type="dxa"/>
              <w:left w:w="15" w:type="dxa"/>
              <w:bottom w:w="15" w:type="dxa"/>
              <w:right w:w="15" w:type="dxa"/>
            </w:tcMar>
            <w:vAlign w:val="center"/>
          </w:tcPr>
          <w:p w14:paraId="0D965385">
            <w:pPr>
              <w:widowControl/>
              <w:adjustRightInd w:val="0"/>
              <w:snapToGrid w:val="0"/>
              <w:spacing w:line="100" w:lineRule="atLeast"/>
              <w:textAlignment w:val="center"/>
              <w:rPr>
                <w:rFonts w:hint="eastAsia" w:ascii="宋体" w:hAnsi="宋体" w:eastAsia="宋体" w:cs="宋体"/>
                <w:color w:val="000000"/>
                <w:sz w:val="24"/>
                <w:szCs w:val="24"/>
                <w:highlight w:val="none"/>
              </w:rPr>
            </w:pPr>
            <w:r>
              <w:rPr>
                <w:rFonts w:hint="eastAsia" w:ascii="宋体" w:hAnsi="宋体" w:eastAsia="宋体" w:cs="宋体"/>
                <w:color w:val="000000"/>
                <w:kern w:val="0"/>
                <w:sz w:val="24"/>
                <w:szCs w:val="24"/>
                <w:highlight w:val="none"/>
                <w:lang w:bidi="ar"/>
              </w:rPr>
              <w:t>从业人员穿戴清洁的工作衣帽，双手清洁，保持个人卫生。</w:t>
            </w:r>
          </w:p>
        </w:tc>
        <w:tc>
          <w:tcPr>
            <w:tcW w:w="735" w:type="dxa"/>
            <w:noWrap w:val="0"/>
            <w:tcMar>
              <w:top w:w="15" w:type="dxa"/>
              <w:left w:w="15" w:type="dxa"/>
              <w:bottom w:w="15" w:type="dxa"/>
              <w:right w:w="15" w:type="dxa"/>
            </w:tcMar>
            <w:vAlign w:val="center"/>
          </w:tcPr>
          <w:p w14:paraId="28D05016">
            <w:pPr>
              <w:widowControl/>
              <w:adjustRightInd w:val="0"/>
              <w:snapToGrid w:val="0"/>
              <w:spacing w:line="100" w:lineRule="atLeast"/>
              <w:jc w:val="center"/>
              <w:textAlignment w:val="center"/>
              <w:rPr>
                <w:rFonts w:hint="eastAsia" w:ascii="宋体" w:hAnsi="宋体" w:eastAsia="宋体" w:cs="宋体"/>
                <w:color w:val="000000"/>
                <w:kern w:val="0"/>
                <w:sz w:val="24"/>
                <w:szCs w:val="24"/>
                <w:highlight w:val="none"/>
                <w:lang w:val="en-US" w:eastAsia="zh-CN" w:bidi="ar"/>
              </w:rPr>
            </w:pPr>
            <w:r>
              <w:rPr>
                <w:rFonts w:hint="eastAsia" w:ascii="宋体" w:hAnsi="宋体" w:eastAsia="宋体" w:cs="宋体"/>
                <w:color w:val="000000"/>
                <w:kern w:val="0"/>
                <w:sz w:val="24"/>
                <w:szCs w:val="24"/>
                <w:highlight w:val="none"/>
                <w:lang w:val="en-US" w:eastAsia="zh-CN" w:bidi="ar"/>
              </w:rPr>
              <w:t>5</w:t>
            </w:r>
          </w:p>
        </w:tc>
        <w:tc>
          <w:tcPr>
            <w:tcW w:w="1305" w:type="dxa"/>
            <w:noWrap w:val="0"/>
            <w:tcMar>
              <w:top w:w="15" w:type="dxa"/>
              <w:left w:w="15" w:type="dxa"/>
              <w:bottom w:w="15" w:type="dxa"/>
              <w:right w:w="15" w:type="dxa"/>
            </w:tcMar>
            <w:vAlign w:val="center"/>
          </w:tcPr>
          <w:p w14:paraId="0C03BB95">
            <w:pPr>
              <w:widowControl/>
              <w:adjustRightInd w:val="0"/>
              <w:snapToGrid w:val="0"/>
              <w:spacing w:line="100" w:lineRule="atLeast"/>
              <w:jc w:val="center"/>
              <w:textAlignment w:val="center"/>
              <w:rPr>
                <w:rFonts w:hint="default" w:ascii="宋体" w:hAnsi="宋体" w:eastAsia="宋体" w:cs="宋体"/>
                <w:color w:val="000000"/>
                <w:kern w:val="0"/>
                <w:sz w:val="24"/>
                <w:szCs w:val="24"/>
                <w:highlight w:val="none"/>
                <w:lang w:val="en-US" w:eastAsia="zh-CN" w:bidi="ar"/>
              </w:rPr>
            </w:pPr>
            <w:r>
              <w:rPr>
                <w:rFonts w:hint="eastAsia" w:ascii="宋体" w:hAnsi="宋体" w:cs="宋体"/>
                <w:color w:val="000000"/>
                <w:kern w:val="0"/>
                <w:sz w:val="24"/>
                <w:szCs w:val="24"/>
                <w:highlight w:val="none"/>
                <w:lang w:val="en-US" w:eastAsia="zh-CN" w:bidi="ar"/>
              </w:rPr>
              <w:t>1</w:t>
            </w:r>
          </w:p>
        </w:tc>
        <w:tc>
          <w:tcPr>
            <w:tcW w:w="820" w:type="dxa"/>
            <w:noWrap w:val="0"/>
            <w:tcMar>
              <w:top w:w="15" w:type="dxa"/>
              <w:left w:w="15" w:type="dxa"/>
              <w:bottom w:w="15" w:type="dxa"/>
              <w:right w:w="15" w:type="dxa"/>
            </w:tcMar>
            <w:vAlign w:val="center"/>
          </w:tcPr>
          <w:p w14:paraId="42AA2B38">
            <w:pPr>
              <w:widowControl/>
              <w:adjustRightInd w:val="0"/>
              <w:snapToGrid w:val="0"/>
              <w:spacing w:line="100" w:lineRule="atLeast"/>
              <w:jc w:val="center"/>
              <w:textAlignment w:val="center"/>
              <w:rPr>
                <w:rFonts w:hint="eastAsia" w:ascii="宋体" w:hAnsi="宋体" w:eastAsia="宋体" w:cs="宋体"/>
                <w:color w:val="000000"/>
                <w:kern w:val="0"/>
                <w:sz w:val="24"/>
                <w:szCs w:val="24"/>
                <w:highlight w:val="none"/>
                <w:lang w:bidi="ar"/>
              </w:rPr>
            </w:pPr>
          </w:p>
        </w:tc>
        <w:tc>
          <w:tcPr>
            <w:tcW w:w="870" w:type="dxa"/>
            <w:noWrap w:val="0"/>
            <w:tcMar>
              <w:top w:w="15" w:type="dxa"/>
              <w:left w:w="15" w:type="dxa"/>
              <w:bottom w:w="15" w:type="dxa"/>
              <w:right w:w="15" w:type="dxa"/>
            </w:tcMar>
            <w:vAlign w:val="center"/>
          </w:tcPr>
          <w:p w14:paraId="71C70DB0">
            <w:pPr>
              <w:widowControl/>
              <w:adjustRightInd w:val="0"/>
              <w:snapToGrid w:val="0"/>
              <w:spacing w:line="100" w:lineRule="atLeast"/>
              <w:jc w:val="center"/>
              <w:textAlignment w:val="center"/>
              <w:rPr>
                <w:rFonts w:hint="eastAsia" w:ascii="宋体" w:hAnsi="宋体" w:eastAsia="宋体" w:cs="宋体"/>
                <w:color w:val="000000"/>
                <w:kern w:val="0"/>
                <w:sz w:val="24"/>
                <w:szCs w:val="24"/>
                <w:highlight w:val="none"/>
                <w:lang w:bidi="ar"/>
              </w:rPr>
            </w:pPr>
          </w:p>
        </w:tc>
      </w:tr>
      <w:tr w14:paraId="183C005C">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108" w:type="dxa"/>
            <w:bottom w:w="0" w:type="dxa"/>
            <w:right w:w="108" w:type="dxa"/>
          </w:tblCellMar>
        </w:tblPrEx>
        <w:trPr>
          <w:trHeight w:val="657" w:hRule="atLeast"/>
          <w:jc w:val="center"/>
        </w:trPr>
        <w:tc>
          <w:tcPr>
            <w:tcW w:w="1186" w:type="dxa"/>
            <w:vMerge w:val="restart"/>
            <w:noWrap w:val="0"/>
            <w:vAlign w:val="center"/>
          </w:tcPr>
          <w:p w14:paraId="1B9A8DF0">
            <w:pPr>
              <w:widowControl/>
              <w:adjustRightInd w:val="0"/>
              <w:snapToGrid w:val="0"/>
              <w:spacing w:line="100" w:lineRule="atLeast"/>
              <w:jc w:val="center"/>
              <w:textAlignment w:val="center"/>
              <w:rPr>
                <w:rFonts w:hint="eastAsia" w:ascii="宋体" w:hAnsi="宋体" w:eastAsia="宋体" w:cs="宋体"/>
                <w:color w:val="000000"/>
                <w:kern w:val="0"/>
                <w:sz w:val="24"/>
                <w:szCs w:val="24"/>
                <w:highlight w:val="none"/>
                <w:lang w:bidi="ar"/>
              </w:rPr>
            </w:pPr>
            <w:r>
              <w:rPr>
                <w:rFonts w:hint="eastAsia" w:ascii="宋体" w:hAnsi="宋体" w:eastAsia="宋体" w:cs="宋体"/>
                <w:color w:val="000000"/>
                <w:kern w:val="0"/>
                <w:sz w:val="24"/>
                <w:szCs w:val="24"/>
                <w:highlight w:val="none"/>
                <w:lang w:val="en-US" w:eastAsia="zh-CN" w:bidi="ar"/>
              </w:rPr>
              <w:t>3.</w:t>
            </w:r>
            <w:r>
              <w:rPr>
                <w:rFonts w:hint="eastAsia" w:ascii="宋体" w:hAnsi="宋体" w:eastAsia="宋体" w:cs="宋体"/>
                <w:color w:val="000000"/>
                <w:kern w:val="0"/>
                <w:sz w:val="24"/>
                <w:szCs w:val="24"/>
                <w:highlight w:val="none"/>
                <w:lang w:bidi="ar"/>
              </w:rPr>
              <w:t>环境卫生管理</w:t>
            </w:r>
          </w:p>
        </w:tc>
        <w:tc>
          <w:tcPr>
            <w:tcW w:w="522" w:type="dxa"/>
            <w:noWrap w:val="0"/>
            <w:tcMar>
              <w:top w:w="15" w:type="dxa"/>
              <w:left w:w="15" w:type="dxa"/>
              <w:bottom w:w="15" w:type="dxa"/>
              <w:right w:w="15" w:type="dxa"/>
            </w:tcMar>
            <w:vAlign w:val="center"/>
          </w:tcPr>
          <w:p w14:paraId="5DEB5765">
            <w:pPr>
              <w:widowControl/>
              <w:adjustRightInd w:val="0"/>
              <w:snapToGrid w:val="0"/>
              <w:spacing w:line="100" w:lineRule="atLeast"/>
              <w:jc w:val="center"/>
              <w:textAlignment w:val="center"/>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9</w:t>
            </w:r>
          </w:p>
        </w:tc>
        <w:tc>
          <w:tcPr>
            <w:tcW w:w="4050" w:type="dxa"/>
            <w:noWrap w:val="0"/>
            <w:tcMar>
              <w:top w:w="15" w:type="dxa"/>
              <w:left w:w="15" w:type="dxa"/>
              <w:bottom w:w="15" w:type="dxa"/>
              <w:right w:w="15" w:type="dxa"/>
            </w:tcMar>
            <w:vAlign w:val="center"/>
          </w:tcPr>
          <w:p w14:paraId="13DDC909">
            <w:pPr>
              <w:widowControl/>
              <w:adjustRightInd w:val="0"/>
              <w:snapToGrid w:val="0"/>
              <w:spacing w:line="100" w:lineRule="atLeast"/>
              <w:textAlignment w:val="center"/>
              <w:rPr>
                <w:rFonts w:hint="eastAsia" w:ascii="宋体" w:hAnsi="宋体" w:eastAsia="宋体" w:cs="宋体"/>
                <w:color w:val="000000"/>
                <w:sz w:val="24"/>
                <w:szCs w:val="24"/>
                <w:highlight w:val="none"/>
              </w:rPr>
            </w:pPr>
            <w:r>
              <w:rPr>
                <w:rFonts w:hint="eastAsia" w:ascii="宋体" w:hAnsi="宋体" w:eastAsia="宋体" w:cs="宋体"/>
                <w:color w:val="000000"/>
                <w:kern w:val="0"/>
                <w:sz w:val="24"/>
                <w:szCs w:val="24"/>
                <w:highlight w:val="none"/>
                <w:lang w:bidi="ar"/>
              </w:rPr>
              <w:t>及时对经营场所进行清理保洁，环境干净、整洁，墙面无破损、积垢、霉斑，地面无积水，物品摆放整齐。</w:t>
            </w:r>
          </w:p>
        </w:tc>
        <w:tc>
          <w:tcPr>
            <w:tcW w:w="735" w:type="dxa"/>
            <w:noWrap w:val="0"/>
            <w:tcMar>
              <w:top w:w="15" w:type="dxa"/>
              <w:left w:w="15" w:type="dxa"/>
              <w:bottom w:w="15" w:type="dxa"/>
              <w:right w:w="15" w:type="dxa"/>
            </w:tcMar>
            <w:vAlign w:val="center"/>
          </w:tcPr>
          <w:p w14:paraId="0925FDEC">
            <w:pPr>
              <w:widowControl/>
              <w:adjustRightInd w:val="0"/>
              <w:snapToGrid w:val="0"/>
              <w:spacing w:line="100" w:lineRule="atLeast"/>
              <w:jc w:val="center"/>
              <w:textAlignment w:val="center"/>
              <w:rPr>
                <w:rFonts w:hint="eastAsia" w:ascii="宋体" w:hAnsi="宋体" w:eastAsia="宋体" w:cs="宋体"/>
                <w:color w:val="000000"/>
                <w:kern w:val="0"/>
                <w:sz w:val="24"/>
                <w:szCs w:val="24"/>
                <w:highlight w:val="none"/>
                <w:lang w:val="en-US" w:eastAsia="zh-CN" w:bidi="ar"/>
              </w:rPr>
            </w:pPr>
            <w:r>
              <w:rPr>
                <w:rFonts w:hint="eastAsia" w:ascii="宋体" w:hAnsi="宋体" w:eastAsia="宋体" w:cs="宋体"/>
                <w:color w:val="000000"/>
                <w:kern w:val="0"/>
                <w:sz w:val="24"/>
                <w:szCs w:val="24"/>
                <w:highlight w:val="none"/>
                <w:lang w:val="en-US" w:eastAsia="zh-CN" w:bidi="ar"/>
              </w:rPr>
              <w:t>5</w:t>
            </w:r>
          </w:p>
        </w:tc>
        <w:tc>
          <w:tcPr>
            <w:tcW w:w="1305" w:type="dxa"/>
            <w:noWrap w:val="0"/>
            <w:tcMar>
              <w:top w:w="15" w:type="dxa"/>
              <w:left w:w="15" w:type="dxa"/>
              <w:bottom w:w="15" w:type="dxa"/>
              <w:right w:w="15" w:type="dxa"/>
            </w:tcMar>
            <w:vAlign w:val="center"/>
          </w:tcPr>
          <w:p w14:paraId="333040DD">
            <w:pPr>
              <w:widowControl/>
              <w:adjustRightInd w:val="0"/>
              <w:snapToGrid w:val="0"/>
              <w:spacing w:line="100" w:lineRule="atLeast"/>
              <w:jc w:val="center"/>
              <w:textAlignment w:val="center"/>
              <w:rPr>
                <w:rFonts w:hint="default" w:ascii="宋体" w:hAnsi="宋体" w:eastAsia="宋体" w:cs="宋体"/>
                <w:color w:val="000000"/>
                <w:kern w:val="0"/>
                <w:sz w:val="24"/>
                <w:szCs w:val="24"/>
                <w:highlight w:val="none"/>
                <w:lang w:val="en-US" w:eastAsia="zh-CN" w:bidi="ar"/>
              </w:rPr>
            </w:pPr>
            <w:r>
              <w:rPr>
                <w:rFonts w:hint="eastAsia" w:ascii="宋体" w:hAnsi="宋体" w:cs="宋体"/>
                <w:color w:val="000000"/>
                <w:kern w:val="0"/>
                <w:sz w:val="24"/>
                <w:szCs w:val="24"/>
                <w:highlight w:val="none"/>
                <w:lang w:val="en-US" w:eastAsia="zh-CN" w:bidi="ar"/>
              </w:rPr>
              <w:t>1</w:t>
            </w:r>
          </w:p>
        </w:tc>
        <w:tc>
          <w:tcPr>
            <w:tcW w:w="820" w:type="dxa"/>
            <w:noWrap w:val="0"/>
            <w:tcMar>
              <w:top w:w="15" w:type="dxa"/>
              <w:left w:w="15" w:type="dxa"/>
              <w:bottom w:w="15" w:type="dxa"/>
              <w:right w:w="15" w:type="dxa"/>
            </w:tcMar>
            <w:vAlign w:val="center"/>
          </w:tcPr>
          <w:p w14:paraId="4B1468AE">
            <w:pPr>
              <w:widowControl/>
              <w:adjustRightInd w:val="0"/>
              <w:snapToGrid w:val="0"/>
              <w:spacing w:line="100" w:lineRule="atLeast"/>
              <w:jc w:val="center"/>
              <w:textAlignment w:val="center"/>
              <w:rPr>
                <w:rFonts w:hint="eastAsia" w:ascii="宋体" w:hAnsi="宋体" w:eastAsia="宋体" w:cs="宋体"/>
                <w:color w:val="000000"/>
                <w:kern w:val="0"/>
                <w:sz w:val="24"/>
                <w:szCs w:val="24"/>
                <w:highlight w:val="none"/>
                <w:lang w:bidi="ar"/>
              </w:rPr>
            </w:pPr>
          </w:p>
        </w:tc>
        <w:tc>
          <w:tcPr>
            <w:tcW w:w="870" w:type="dxa"/>
            <w:noWrap w:val="0"/>
            <w:tcMar>
              <w:top w:w="15" w:type="dxa"/>
              <w:left w:w="15" w:type="dxa"/>
              <w:bottom w:w="15" w:type="dxa"/>
              <w:right w:w="15" w:type="dxa"/>
            </w:tcMar>
            <w:vAlign w:val="center"/>
          </w:tcPr>
          <w:p w14:paraId="345F1FD4">
            <w:pPr>
              <w:widowControl/>
              <w:adjustRightInd w:val="0"/>
              <w:snapToGrid w:val="0"/>
              <w:spacing w:line="100" w:lineRule="atLeast"/>
              <w:jc w:val="center"/>
              <w:textAlignment w:val="center"/>
              <w:rPr>
                <w:rFonts w:hint="eastAsia" w:ascii="宋体" w:hAnsi="宋体" w:eastAsia="宋体" w:cs="宋体"/>
                <w:color w:val="000000"/>
                <w:kern w:val="0"/>
                <w:sz w:val="24"/>
                <w:szCs w:val="24"/>
                <w:highlight w:val="none"/>
                <w:lang w:bidi="ar"/>
              </w:rPr>
            </w:pPr>
          </w:p>
        </w:tc>
      </w:tr>
      <w:tr w14:paraId="0E96A970">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108" w:type="dxa"/>
            <w:bottom w:w="0" w:type="dxa"/>
            <w:right w:w="108" w:type="dxa"/>
          </w:tblCellMar>
        </w:tblPrEx>
        <w:trPr>
          <w:trHeight w:val="480" w:hRule="atLeast"/>
          <w:jc w:val="center"/>
        </w:trPr>
        <w:tc>
          <w:tcPr>
            <w:tcW w:w="1186" w:type="dxa"/>
            <w:vMerge w:val="continue"/>
            <w:noWrap w:val="0"/>
            <w:vAlign w:val="center"/>
          </w:tcPr>
          <w:p w14:paraId="49A0C776">
            <w:pPr>
              <w:widowControl/>
              <w:adjustRightInd w:val="0"/>
              <w:snapToGrid w:val="0"/>
              <w:spacing w:line="100" w:lineRule="atLeast"/>
              <w:jc w:val="center"/>
              <w:rPr>
                <w:rFonts w:hint="eastAsia" w:ascii="宋体" w:hAnsi="宋体" w:eastAsia="宋体" w:cs="宋体"/>
                <w:color w:val="000000"/>
                <w:sz w:val="24"/>
                <w:szCs w:val="24"/>
                <w:highlight w:val="none"/>
              </w:rPr>
            </w:pPr>
          </w:p>
        </w:tc>
        <w:tc>
          <w:tcPr>
            <w:tcW w:w="522" w:type="dxa"/>
            <w:noWrap w:val="0"/>
            <w:tcMar>
              <w:top w:w="15" w:type="dxa"/>
              <w:left w:w="15" w:type="dxa"/>
              <w:bottom w:w="15" w:type="dxa"/>
              <w:right w:w="15" w:type="dxa"/>
            </w:tcMar>
            <w:vAlign w:val="center"/>
          </w:tcPr>
          <w:p w14:paraId="5ABECF82">
            <w:pPr>
              <w:widowControl/>
              <w:adjustRightInd w:val="0"/>
              <w:snapToGrid w:val="0"/>
              <w:spacing w:line="100" w:lineRule="atLeast"/>
              <w:jc w:val="center"/>
              <w:textAlignment w:val="center"/>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10</w:t>
            </w:r>
          </w:p>
        </w:tc>
        <w:tc>
          <w:tcPr>
            <w:tcW w:w="4050" w:type="dxa"/>
            <w:noWrap w:val="0"/>
            <w:tcMar>
              <w:top w:w="15" w:type="dxa"/>
              <w:left w:w="15" w:type="dxa"/>
              <w:bottom w:w="15" w:type="dxa"/>
              <w:right w:w="15" w:type="dxa"/>
            </w:tcMar>
            <w:vAlign w:val="center"/>
          </w:tcPr>
          <w:p w14:paraId="39EEB93B">
            <w:pPr>
              <w:widowControl/>
              <w:adjustRightInd w:val="0"/>
              <w:snapToGrid w:val="0"/>
              <w:spacing w:line="100" w:lineRule="atLeast"/>
              <w:textAlignment w:val="center"/>
              <w:rPr>
                <w:rFonts w:hint="eastAsia" w:ascii="宋体" w:hAnsi="宋体" w:eastAsia="宋体" w:cs="宋体"/>
                <w:color w:val="000000"/>
                <w:sz w:val="24"/>
                <w:szCs w:val="24"/>
                <w:highlight w:val="none"/>
              </w:rPr>
            </w:pPr>
            <w:r>
              <w:rPr>
                <w:rFonts w:hint="eastAsia" w:ascii="宋体" w:hAnsi="宋体" w:eastAsia="宋体" w:cs="宋体"/>
                <w:color w:val="000000"/>
                <w:kern w:val="0"/>
                <w:sz w:val="24"/>
                <w:szCs w:val="24"/>
                <w:highlight w:val="none"/>
                <w:lang w:bidi="ar"/>
              </w:rPr>
              <w:t>定期清洁</w:t>
            </w:r>
            <w:r>
              <w:rPr>
                <w:rFonts w:hint="eastAsia" w:ascii="宋体" w:hAnsi="宋体" w:eastAsia="宋体" w:cs="宋体"/>
                <w:color w:val="000000"/>
                <w:kern w:val="0"/>
                <w:sz w:val="24"/>
                <w:szCs w:val="24"/>
                <w:highlight w:val="none"/>
                <w:lang w:val="en-US" w:eastAsia="zh-CN" w:bidi="ar"/>
              </w:rPr>
              <w:t>供餐</w:t>
            </w:r>
            <w:r>
              <w:rPr>
                <w:rFonts w:hint="eastAsia" w:ascii="宋体" w:hAnsi="宋体" w:eastAsia="宋体" w:cs="宋体"/>
                <w:color w:val="000000"/>
                <w:kern w:val="0"/>
                <w:sz w:val="24"/>
                <w:szCs w:val="24"/>
                <w:highlight w:val="none"/>
                <w:lang w:bidi="ar"/>
              </w:rPr>
              <w:t>设施，保持有效运转，无明显污垢。</w:t>
            </w:r>
          </w:p>
        </w:tc>
        <w:tc>
          <w:tcPr>
            <w:tcW w:w="735" w:type="dxa"/>
            <w:noWrap w:val="0"/>
            <w:tcMar>
              <w:top w:w="15" w:type="dxa"/>
              <w:left w:w="15" w:type="dxa"/>
              <w:bottom w:w="15" w:type="dxa"/>
              <w:right w:w="15" w:type="dxa"/>
            </w:tcMar>
            <w:vAlign w:val="center"/>
          </w:tcPr>
          <w:p w14:paraId="54220B5B">
            <w:pPr>
              <w:widowControl/>
              <w:adjustRightInd w:val="0"/>
              <w:snapToGrid w:val="0"/>
              <w:spacing w:line="100" w:lineRule="atLeast"/>
              <w:jc w:val="center"/>
              <w:textAlignment w:val="center"/>
              <w:rPr>
                <w:rFonts w:hint="eastAsia" w:ascii="宋体" w:hAnsi="宋体" w:eastAsia="宋体" w:cs="宋体"/>
                <w:color w:val="000000"/>
                <w:kern w:val="0"/>
                <w:sz w:val="24"/>
                <w:szCs w:val="24"/>
                <w:highlight w:val="none"/>
                <w:lang w:val="en-US" w:eastAsia="zh-CN" w:bidi="ar"/>
              </w:rPr>
            </w:pPr>
            <w:r>
              <w:rPr>
                <w:rFonts w:hint="eastAsia" w:ascii="宋体" w:hAnsi="宋体" w:eastAsia="宋体" w:cs="宋体"/>
                <w:color w:val="000000"/>
                <w:kern w:val="0"/>
                <w:sz w:val="24"/>
                <w:szCs w:val="24"/>
                <w:highlight w:val="none"/>
                <w:lang w:val="en-US" w:eastAsia="zh-CN" w:bidi="ar"/>
              </w:rPr>
              <w:t>5</w:t>
            </w:r>
          </w:p>
        </w:tc>
        <w:tc>
          <w:tcPr>
            <w:tcW w:w="1305" w:type="dxa"/>
            <w:noWrap w:val="0"/>
            <w:tcMar>
              <w:top w:w="15" w:type="dxa"/>
              <w:left w:w="15" w:type="dxa"/>
              <w:bottom w:w="15" w:type="dxa"/>
              <w:right w:w="15" w:type="dxa"/>
            </w:tcMar>
            <w:vAlign w:val="center"/>
          </w:tcPr>
          <w:p w14:paraId="1F803961">
            <w:pPr>
              <w:widowControl/>
              <w:adjustRightInd w:val="0"/>
              <w:snapToGrid w:val="0"/>
              <w:spacing w:line="100" w:lineRule="atLeast"/>
              <w:jc w:val="center"/>
              <w:textAlignment w:val="center"/>
              <w:rPr>
                <w:rFonts w:hint="default" w:ascii="宋体" w:hAnsi="宋体" w:eastAsia="宋体" w:cs="宋体"/>
                <w:color w:val="000000"/>
                <w:kern w:val="0"/>
                <w:sz w:val="24"/>
                <w:szCs w:val="24"/>
                <w:highlight w:val="none"/>
                <w:lang w:val="en-US" w:eastAsia="zh-CN" w:bidi="ar"/>
              </w:rPr>
            </w:pPr>
            <w:r>
              <w:rPr>
                <w:rFonts w:hint="eastAsia" w:ascii="宋体" w:hAnsi="宋体" w:cs="宋体"/>
                <w:color w:val="000000"/>
                <w:kern w:val="0"/>
                <w:sz w:val="24"/>
                <w:szCs w:val="24"/>
                <w:highlight w:val="none"/>
                <w:lang w:val="en-US" w:eastAsia="zh-CN" w:bidi="ar"/>
              </w:rPr>
              <w:t>1</w:t>
            </w:r>
          </w:p>
        </w:tc>
        <w:tc>
          <w:tcPr>
            <w:tcW w:w="820" w:type="dxa"/>
            <w:noWrap w:val="0"/>
            <w:tcMar>
              <w:top w:w="15" w:type="dxa"/>
              <w:left w:w="15" w:type="dxa"/>
              <w:bottom w:w="15" w:type="dxa"/>
              <w:right w:w="15" w:type="dxa"/>
            </w:tcMar>
            <w:vAlign w:val="center"/>
          </w:tcPr>
          <w:p w14:paraId="0018A784">
            <w:pPr>
              <w:widowControl/>
              <w:adjustRightInd w:val="0"/>
              <w:snapToGrid w:val="0"/>
              <w:spacing w:line="100" w:lineRule="atLeast"/>
              <w:jc w:val="center"/>
              <w:textAlignment w:val="center"/>
              <w:rPr>
                <w:rFonts w:hint="eastAsia" w:ascii="宋体" w:hAnsi="宋体" w:eastAsia="宋体" w:cs="宋体"/>
                <w:color w:val="000000"/>
                <w:kern w:val="0"/>
                <w:sz w:val="24"/>
                <w:szCs w:val="24"/>
                <w:highlight w:val="none"/>
                <w:lang w:bidi="ar"/>
              </w:rPr>
            </w:pPr>
          </w:p>
        </w:tc>
        <w:tc>
          <w:tcPr>
            <w:tcW w:w="870" w:type="dxa"/>
            <w:noWrap w:val="0"/>
            <w:tcMar>
              <w:top w:w="15" w:type="dxa"/>
              <w:left w:w="15" w:type="dxa"/>
              <w:bottom w:w="15" w:type="dxa"/>
              <w:right w:w="15" w:type="dxa"/>
            </w:tcMar>
            <w:vAlign w:val="center"/>
          </w:tcPr>
          <w:p w14:paraId="6363063A">
            <w:pPr>
              <w:widowControl/>
              <w:adjustRightInd w:val="0"/>
              <w:snapToGrid w:val="0"/>
              <w:spacing w:line="100" w:lineRule="atLeast"/>
              <w:jc w:val="center"/>
              <w:textAlignment w:val="center"/>
              <w:rPr>
                <w:rFonts w:hint="eastAsia" w:ascii="宋体" w:hAnsi="宋体" w:eastAsia="宋体" w:cs="宋体"/>
                <w:color w:val="000000"/>
                <w:kern w:val="0"/>
                <w:sz w:val="24"/>
                <w:szCs w:val="24"/>
                <w:highlight w:val="none"/>
                <w:lang w:bidi="ar"/>
              </w:rPr>
            </w:pPr>
          </w:p>
        </w:tc>
      </w:tr>
      <w:tr w14:paraId="068664D7">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108" w:type="dxa"/>
            <w:bottom w:w="0" w:type="dxa"/>
            <w:right w:w="108" w:type="dxa"/>
          </w:tblCellMar>
        </w:tblPrEx>
        <w:trPr>
          <w:trHeight w:val="503" w:hRule="atLeast"/>
          <w:jc w:val="center"/>
        </w:trPr>
        <w:tc>
          <w:tcPr>
            <w:tcW w:w="1186" w:type="dxa"/>
            <w:vMerge w:val="continue"/>
            <w:noWrap w:val="0"/>
            <w:tcMar>
              <w:top w:w="15" w:type="dxa"/>
              <w:left w:w="15" w:type="dxa"/>
              <w:bottom w:w="15" w:type="dxa"/>
              <w:right w:w="15" w:type="dxa"/>
            </w:tcMar>
            <w:vAlign w:val="center"/>
          </w:tcPr>
          <w:p w14:paraId="64E509B4">
            <w:pPr>
              <w:widowControl/>
              <w:adjustRightInd w:val="0"/>
              <w:snapToGrid w:val="0"/>
              <w:spacing w:line="100" w:lineRule="atLeast"/>
              <w:jc w:val="center"/>
              <w:textAlignment w:val="center"/>
              <w:rPr>
                <w:rFonts w:hint="eastAsia" w:ascii="宋体" w:hAnsi="宋体" w:eastAsia="宋体" w:cs="宋体"/>
                <w:color w:val="000000"/>
                <w:kern w:val="0"/>
                <w:sz w:val="24"/>
                <w:szCs w:val="24"/>
                <w:highlight w:val="none"/>
                <w:lang w:bidi="ar"/>
              </w:rPr>
            </w:pPr>
          </w:p>
        </w:tc>
        <w:tc>
          <w:tcPr>
            <w:tcW w:w="522" w:type="dxa"/>
            <w:noWrap w:val="0"/>
            <w:tcMar>
              <w:top w:w="15" w:type="dxa"/>
              <w:left w:w="15" w:type="dxa"/>
              <w:bottom w:w="15" w:type="dxa"/>
              <w:right w:w="15" w:type="dxa"/>
            </w:tcMar>
            <w:vAlign w:val="center"/>
          </w:tcPr>
          <w:p w14:paraId="5205C3FA">
            <w:pPr>
              <w:widowControl/>
              <w:adjustRightInd w:val="0"/>
              <w:snapToGrid w:val="0"/>
              <w:spacing w:line="100" w:lineRule="atLeast"/>
              <w:jc w:val="center"/>
              <w:textAlignment w:val="center"/>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11</w:t>
            </w:r>
          </w:p>
        </w:tc>
        <w:tc>
          <w:tcPr>
            <w:tcW w:w="4050" w:type="dxa"/>
            <w:noWrap w:val="0"/>
            <w:tcMar>
              <w:top w:w="15" w:type="dxa"/>
              <w:left w:w="15" w:type="dxa"/>
              <w:bottom w:w="15" w:type="dxa"/>
              <w:right w:w="15" w:type="dxa"/>
            </w:tcMar>
            <w:vAlign w:val="center"/>
          </w:tcPr>
          <w:p w14:paraId="0F75A118">
            <w:pPr>
              <w:widowControl/>
              <w:adjustRightInd w:val="0"/>
              <w:snapToGrid w:val="0"/>
              <w:spacing w:line="100" w:lineRule="atLeast"/>
              <w:textAlignment w:val="center"/>
              <w:rPr>
                <w:rFonts w:hint="eastAsia" w:ascii="宋体" w:hAnsi="宋体" w:eastAsia="宋体" w:cs="宋体"/>
                <w:color w:val="000000"/>
                <w:kern w:val="0"/>
                <w:sz w:val="24"/>
                <w:szCs w:val="24"/>
                <w:highlight w:val="none"/>
                <w:lang w:bidi="ar"/>
              </w:rPr>
            </w:pPr>
            <w:r>
              <w:rPr>
                <w:rFonts w:hint="eastAsia" w:ascii="宋体" w:hAnsi="宋体" w:eastAsia="宋体" w:cs="宋体"/>
                <w:color w:val="000000"/>
                <w:kern w:val="0"/>
                <w:sz w:val="24"/>
                <w:szCs w:val="24"/>
                <w:highlight w:val="none"/>
                <w:lang w:bidi="ar"/>
              </w:rPr>
              <w:t>定时清理卫生间，无污物堆积、无异味。</w:t>
            </w:r>
          </w:p>
        </w:tc>
        <w:tc>
          <w:tcPr>
            <w:tcW w:w="735" w:type="dxa"/>
            <w:noWrap w:val="0"/>
            <w:tcMar>
              <w:top w:w="15" w:type="dxa"/>
              <w:left w:w="15" w:type="dxa"/>
              <w:bottom w:w="15" w:type="dxa"/>
              <w:right w:w="15" w:type="dxa"/>
            </w:tcMar>
            <w:vAlign w:val="center"/>
          </w:tcPr>
          <w:p w14:paraId="7C1ED710">
            <w:pPr>
              <w:widowControl/>
              <w:adjustRightInd w:val="0"/>
              <w:snapToGrid w:val="0"/>
              <w:spacing w:line="100" w:lineRule="atLeast"/>
              <w:jc w:val="center"/>
              <w:textAlignment w:val="center"/>
              <w:rPr>
                <w:rFonts w:hint="eastAsia" w:ascii="宋体" w:hAnsi="宋体" w:eastAsia="宋体" w:cs="宋体"/>
                <w:color w:val="000000"/>
                <w:kern w:val="0"/>
                <w:sz w:val="24"/>
                <w:szCs w:val="24"/>
                <w:highlight w:val="none"/>
                <w:lang w:val="en-US" w:eastAsia="zh-CN" w:bidi="ar"/>
              </w:rPr>
            </w:pPr>
            <w:r>
              <w:rPr>
                <w:rFonts w:hint="eastAsia" w:ascii="宋体" w:hAnsi="宋体" w:eastAsia="宋体" w:cs="宋体"/>
                <w:color w:val="000000"/>
                <w:kern w:val="0"/>
                <w:sz w:val="24"/>
                <w:szCs w:val="24"/>
                <w:highlight w:val="none"/>
                <w:lang w:val="en-US" w:eastAsia="zh-CN" w:bidi="ar"/>
              </w:rPr>
              <w:t>5</w:t>
            </w:r>
          </w:p>
        </w:tc>
        <w:tc>
          <w:tcPr>
            <w:tcW w:w="1305" w:type="dxa"/>
            <w:noWrap w:val="0"/>
            <w:tcMar>
              <w:top w:w="15" w:type="dxa"/>
              <w:left w:w="15" w:type="dxa"/>
              <w:bottom w:w="15" w:type="dxa"/>
              <w:right w:w="15" w:type="dxa"/>
            </w:tcMar>
            <w:vAlign w:val="center"/>
          </w:tcPr>
          <w:p w14:paraId="42CFF837">
            <w:pPr>
              <w:widowControl/>
              <w:adjustRightInd w:val="0"/>
              <w:snapToGrid w:val="0"/>
              <w:spacing w:line="100" w:lineRule="atLeast"/>
              <w:jc w:val="center"/>
              <w:textAlignment w:val="center"/>
              <w:rPr>
                <w:rFonts w:hint="default" w:ascii="宋体" w:hAnsi="宋体" w:eastAsia="宋体" w:cs="宋体"/>
                <w:color w:val="000000"/>
                <w:kern w:val="0"/>
                <w:sz w:val="24"/>
                <w:szCs w:val="24"/>
                <w:highlight w:val="none"/>
                <w:lang w:val="en-US" w:eastAsia="zh-CN" w:bidi="ar"/>
              </w:rPr>
            </w:pPr>
            <w:r>
              <w:rPr>
                <w:rFonts w:hint="eastAsia" w:ascii="宋体" w:hAnsi="宋体" w:cs="宋体"/>
                <w:color w:val="000000"/>
                <w:kern w:val="0"/>
                <w:sz w:val="24"/>
                <w:szCs w:val="24"/>
                <w:highlight w:val="none"/>
                <w:lang w:val="en-US" w:eastAsia="zh-CN" w:bidi="ar"/>
              </w:rPr>
              <w:t>1</w:t>
            </w:r>
          </w:p>
        </w:tc>
        <w:tc>
          <w:tcPr>
            <w:tcW w:w="820" w:type="dxa"/>
            <w:noWrap w:val="0"/>
            <w:tcMar>
              <w:top w:w="15" w:type="dxa"/>
              <w:left w:w="15" w:type="dxa"/>
              <w:bottom w:w="15" w:type="dxa"/>
              <w:right w:w="15" w:type="dxa"/>
            </w:tcMar>
            <w:vAlign w:val="center"/>
          </w:tcPr>
          <w:p w14:paraId="2C3983B5">
            <w:pPr>
              <w:widowControl/>
              <w:adjustRightInd w:val="0"/>
              <w:snapToGrid w:val="0"/>
              <w:spacing w:line="100" w:lineRule="atLeast"/>
              <w:jc w:val="center"/>
              <w:textAlignment w:val="center"/>
              <w:rPr>
                <w:rFonts w:hint="eastAsia" w:ascii="宋体" w:hAnsi="宋体" w:eastAsia="宋体" w:cs="宋体"/>
                <w:color w:val="000000"/>
                <w:kern w:val="0"/>
                <w:sz w:val="24"/>
                <w:szCs w:val="24"/>
                <w:highlight w:val="none"/>
                <w:lang w:bidi="ar"/>
              </w:rPr>
            </w:pPr>
          </w:p>
        </w:tc>
        <w:tc>
          <w:tcPr>
            <w:tcW w:w="870" w:type="dxa"/>
            <w:noWrap w:val="0"/>
            <w:tcMar>
              <w:top w:w="15" w:type="dxa"/>
              <w:left w:w="15" w:type="dxa"/>
              <w:bottom w:w="15" w:type="dxa"/>
              <w:right w:w="15" w:type="dxa"/>
            </w:tcMar>
            <w:vAlign w:val="center"/>
          </w:tcPr>
          <w:p w14:paraId="22184A0E">
            <w:pPr>
              <w:widowControl/>
              <w:adjustRightInd w:val="0"/>
              <w:snapToGrid w:val="0"/>
              <w:spacing w:line="100" w:lineRule="atLeast"/>
              <w:jc w:val="center"/>
              <w:textAlignment w:val="center"/>
              <w:rPr>
                <w:rFonts w:hint="eastAsia" w:ascii="宋体" w:hAnsi="宋体" w:eastAsia="宋体" w:cs="宋体"/>
                <w:color w:val="000000"/>
                <w:kern w:val="0"/>
                <w:sz w:val="24"/>
                <w:szCs w:val="24"/>
                <w:highlight w:val="none"/>
                <w:lang w:bidi="ar"/>
              </w:rPr>
            </w:pPr>
          </w:p>
        </w:tc>
      </w:tr>
      <w:tr w14:paraId="7AC19A1A">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108" w:type="dxa"/>
            <w:bottom w:w="0" w:type="dxa"/>
            <w:right w:w="108" w:type="dxa"/>
          </w:tblCellMar>
        </w:tblPrEx>
        <w:trPr>
          <w:trHeight w:val="823" w:hRule="atLeast"/>
          <w:jc w:val="center"/>
        </w:trPr>
        <w:tc>
          <w:tcPr>
            <w:tcW w:w="1186" w:type="dxa"/>
            <w:vMerge w:val="restart"/>
            <w:noWrap w:val="0"/>
            <w:vAlign w:val="center"/>
          </w:tcPr>
          <w:p w14:paraId="4E4B22D6">
            <w:pPr>
              <w:widowControl/>
              <w:adjustRightInd w:val="0"/>
              <w:snapToGrid w:val="0"/>
              <w:spacing w:line="100" w:lineRule="atLeast"/>
              <w:jc w:val="center"/>
              <w:rPr>
                <w:rFonts w:hint="eastAsia" w:ascii="宋体" w:hAnsi="宋体" w:eastAsia="宋体" w:cs="宋体"/>
                <w:color w:val="000000"/>
                <w:kern w:val="0"/>
                <w:sz w:val="24"/>
                <w:szCs w:val="24"/>
                <w:highlight w:val="none"/>
                <w:lang w:bidi="ar"/>
              </w:rPr>
            </w:pPr>
            <w:r>
              <w:rPr>
                <w:rFonts w:hint="eastAsia" w:ascii="宋体" w:hAnsi="宋体" w:eastAsia="宋体" w:cs="宋体"/>
                <w:color w:val="000000"/>
                <w:kern w:val="0"/>
                <w:sz w:val="24"/>
                <w:szCs w:val="24"/>
                <w:highlight w:val="none"/>
                <w:lang w:val="en-US" w:eastAsia="zh-CN" w:bidi="ar"/>
              </w:rPr>
              <w:t>4.食品安全</w:t>
            </w:r>
            <w:r>
              <w:rPr>
                <w:rFonts w:hint="eastAsia" w:ascii="宋体" w:hAnsi="宋体" w:eastAsia="宋体" w:cs="宋体"/>
                <w:color w:val="000000"/>
                <w:kern w:val="0"/>
                <w:sz w:val="24"/>
                <w:szCs w:val="24"/>
                <w:highlight w:val="none"/>
                <w:lang w:bidi="ar"/>
              </w:rPr>
              <w:t>管理</w:t>
            </w:r>
          </w:p>
        </w:tc>
        <w:tc>
          <w:tcPr>
            <w:tcW w:w="522" w:type="dxa"/>
            <w:noWrap w:val="0"/>
            <w:tcMar>
              <w:top w:w="15" w:type="dxa"/>
              <w:left w:w="15" w:type="dxa"/>
              <w:bottom w:w="15" w:type="dxa"/>
              <w:right w:w="15" w:type="dxa"/>
            </w:tcMar>
            <w:vAlign w:val="center"/>
          </w:tcPr>
          <w:p w14:paraId="42458128">
            <w:pPr>
              <w:widowControl/>
              <w:adjustRightInd w:val="0"/>
              <w:snapToGrid w:val="0"/>
              <w:spacing w:line="100" w:lineRule="atLeast"/>
              <w:jc w:val="center"/>
              <w:textAlignment w:val="center"/>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12</w:t>
            </w:r>
          </w:p>
        </w:tc>
        <w:tc>
          <w:tcPr>
            <w:tcW w:w="4050" w:type="dxa"/>
            <w:noWrap w:val="0"/>
            <w:tcMar>
              <w:top w:w="15" w:type="dxa"/>
              <w:left w:w="15" w:type="dxa"/>
              <w:bottom w:w="15" w:type="dxa"/>
              <w:right w:w="15" w:type="dxa"/>
            </w:tcMar>
            <w:vAlign w:val="center"/>
          </w:tcPr>
          <w:p w14:paraId="7FA23C97">
            <w:pPr>
              <w:widowControl/>
              <w:adjustRightInd w:val="0"/>
              <w:snapToGrid w:val="0"/>
              <w:spacing w:line="100" w:lineRule="atLeast"/>
              <w:textAlignment w:val="center"/>
              <w:rPr>
                <w:rFonts w:hint="eastAsia" w:ascii="宋体" w:hAnsi="宋体" w:eastAsia="宋体" w:cs="宋体"/>
                <w:color w:val="000000"/>
                <w:kern w:val="0"/>
                <w:sz w:val="24"/>
                <w:szCs w:val="24"/>
                <w:highlight w:val="none"/>
                <w:lang w:bidi="ar"/>
              </w:rPr>
            </w:pPr>
            <w:r>
              <w:rPr>
                <w:rFonts w:hint="eastAsia" w:ascii="宋体" w:hAnsi="宋体" w:eastAsia="宋体" w:cs="宋体"/>
                <w:color w:val="000000"/>
                <w:kern w:val="0"/>
                <w:sz w:val="24"/>
                <w:szCs w:val="24"/>
                <w:highlight w:val="none"/>
                <w:lang w:val="en-US" w:eastAsia="zh-CN" w:bidi="ar"/>
              </w:rPr>
              <w:t>食品新鲜，</w:t>
            </w:r>
            <w:r>
              <w:rPr>
                <w:rFonts w:hint="eastAsia" w:ascii="宋体" w:hAnsi="宋体" w:eastAsia="宋体" w:cs="宋体"/>
                <w:color w:val="000000"/>
                <w:kern w:val="0"/>
                <w:sz w:val="24"/>
                <w:szCs w:val="24"/>
                <w:highlight w:val="none"/>
                <w:lang w:bidi="ar"/>
              </w:rPr>
              <w:t>无腐败变质、油脂酸败、霉变生虫、污秽不洁、混有异物、掺假掺杂或者感官性状异常的食</w:t>
            </w:r>
            <w:r>
              <w:rPr>
                <w:rFonts w:hint="eastAsia" w:ascii="宋体" w:hAnsi="宋体" w:eastAsia="宋体" w:cs="宋体"/>
                <w:color w:val="000000"/>
                <w:kern w:val="0"/>
                <w:sz w:val="24"/>
                <w:szCs w:val="24"/>
                <w:highlight w:val="none"/>
                <w:lang w:val="en-US" w:eastAsia="zh-CN" w:bidi="ar"/>
              </w:rPr>
              <w:t>物</w:t>
            </w:r>
            <w:r>
              <w:rPr>
                <w:rFonts w:hint="eastAsia" w:ascii="宋体" w:hAnsi="宋体" w:eastAsia="宋体" w:cs="宋体"/>
                <w:color w:val="000000"/>
                <w:kern w:val="0"/>
                <w:sz w:val="24"/>
                <w:szCs w:val="24"/>
                <w:highlight w:val="none"/>
                <w:lang w:bidi="ar"/>
              </w:rPr>
              <w:t>。</w:t>
            </w:r>
          </w:p>
        </w:tc>
        <w:tc>
          <w:tcPr>
            <w:tcW w:w="735" w:type="dxa"/>
            <w:noWrap w:val="0"/>
            <w:tcMar>
              <w:top w:w="15" w:type="dxa"/>
              <w:left w:w="15" w:type="dxa"/>
              <w:bottom w:w="15" w:type="dxa"/>
              <w:right w:w="15" w:type="dxa"/>
            </w:tcMar>
            <w:vAlign w:val="center"/>
          </w:tcPr>
          <w:p w14:paraId="14329372">
            <w:pPr>
              <w:widowControl/>
              <w:adjustRightInd w:val="0"/>
              <w:snapToGrid w:val="0"/>
              <w:spacing w:line="100" w:lineRule="atLeast"/>
              <w:jc w:val="center"/>
              <w:textAlignment w:val="center"/>
              <w:rPr>
                <w:rFonts w:hint="eastAsia" w:ascii="宋体" w:hAnsi="宋体" w:eastAsia="宋体" w:cs="宋体"/>
                <w:color w:val="000000"/>
                <w:kern w:val="0"/>
                <w:sz w:val="24"/>
                <w:szCs w:val="24"/>
                <w:highlight w:val="none"/>
                <w:lang w:val="en-US" w:eastAsia="zh-CN" w:bidi="ar"/>
              </w:rPr>
            </w:pPr>
            <w:r>
              <w:rPr>
                <w:rFonts w:hint="eastAsia" w:ascii="宋体" w:hAnsi="宋体" w:eastAsia="宋体" w:cs="宋体"/>
                <w:color w:val="000000"/>
                <w:kern w:val="0"/>
                <w:sz w:val="24"/>
                <w:szCs w:val="24"/>
                <w:highlight w:val="none"/>
                <w:lang w:val="en-US" w:eastAsia="zh-CN" w:bidi="ar"/>
              </w:rPr>
              <w:t>10</w:t>
            </w:r>
          </w:p>
        </w:tc>
        <w:tc>
          <w:tcPr>
            <w:tcW w:w="1305" w:type="dxa"/>
            <w:noWrap w:val="0"/>
            <w:tcMar>
              <w:top w:w="15" w:type="dxa"/>
              <w:left w:w="15" w:type="dxa"/>
              <w:bottom w:w="15" w:type="dxa"/>
              <w:right w:w="15" w:type="dxa"/>
            </w:tcMar>
            <w:vAlign w:val="center"/>
          </w:tcPr>
          <w:p w14:paraId="6C59F8A9">
            <w:pPr>
              <w:widowControl/>
              <w:adjustRightInd w:val="0"/>
              <w:snapToGrid w:val="0"/>
              <w:spacing w:line="100" w:lineRule="atLeast"/>
              <w:jc w:val="center"/>
              <w:textAlignment w:val="center"/>
              <w:rPr>
                <w:rFonts w:hint="default" w:ascii="宋体" w:hAnsi="宋体" w:eastAsia="宋体" w:cs="宋体"/>
                <w:color w:val="000000"/>
                <w:kern w:val="0"/>
                <w:sz w:val="24"/>
                <w:szCs w:val="24"/>
                <w:highlight w:val="none"/>
                <w:lang w:val="en-US" w:eastAsia="zh-CN" w:bidi="ar"/>
              </w:rPr>
            </w:pPr>
            <w:r>
              <w:rPr>
                <w:rFonts w:hint="eastAsia" w:ascii="宋体" w:hAnsi="宋体" w:cs="宋体"/>
                <w:color w:val="000000"/>
                <w:kern w:val="0"/>
                <w:sz w:val="24"/>
                <w:szCs w:val="24"/>
                <w:highlight w:val="none"/>
                <w:lang w:val="en-US" w:eastAsia="zh-CN" w:bidi="ar"/>
              </w:rPr>
              <w:t>2</w:t>
            </w:r>
          </w:p>
        </w:tc>
        <w:tc>
          <w:tcPr>
            <w:tcW w:w="820" w:type="dxa"/>
            <w:noWrap w:val="0"/>
            <w:tcMar>
              <w:top w:w="15" w:type="dxa"/>
              <w:left w:w="15" w:type="dxa"/>
              <w:bottom w:w="15" w:type="dxa"/>
              <w:right w:w="15" w:type="dxa"/>
            </w:tcMar>
            <w:vAlign w:val="center"/>
          </w:tcPr>
          <w:p w14:paraId="347788B5">
            <w:pPr>
              <w:widowControl/>
              <w:adjustRightInd w:val="0"/>
              <w:snapToGrid w:val="0"/>
              <w:spacing w:line="100" w:lineRule="atLeast"/>
              <w:jc w:val="center"/>
              <w:textAlignment w:val="center"/>
              <w:rPr>
                <w:rFonts w:hint="eastAsia" w:ascii="宋体" w:hAnsi="宋体" w:eastAsia="宋体" w:cs="宋体"/>
                <w:color w:val="000000"/>
                <w:kern w:val="0"/>
                <w:sz w:val="24"/>
                <w:szCs w:val="24"/>
                <w:highlight w:val="none"/>
                <w:lang w:bidi="ar"/>
              </w:rPr>
            </w:pPr>
          </w:p>
        </w:tc>
        <w:tc>
          <w:tcPr>
            <w:tcW w:w="870" w:type="dxa"/>
            <w:noWrap w:val="0"/>
            <w:tcMar>
              <w:top w:w="15" w:type="dxa"/>
              <w:left w:w="15" w:type="dxa"/>
              <w:bottom w:w="15" w:type="dxa"/>
              <w:right w:w="15" w:type="dxa"/>
            </w:tcMar>
            <w:vAlign w:val="center"/>
          </w:tcPr>
          <w:p w14:paraId="3600E87E">
            <w:pPr>
              <w:widowControl/>
              <w:adjustRightInd w:val="0"/>
              <w:snapToGrid w:val="0"/>
              <w:spacing w:line="100" w:lineRule="atLeast"/>
              <w:jc w:val="center"/>
              <w:textAlignment w:val="center"/>
              <w:rPr>
                <w:rFonts w:hint="eastAsia" w:ascii="宋体" w:hAnsi="宋体" w:eastAsia="宋体" w:cs="宋体"/>
                <w:color w:val="000000"/>
                <w:kern w:val="0"/>
                <w:sz w:val="24"/>
                <w:szCs w:val="24"/>
                <w:highlight w:val="none"/>
                <w:lang w:bidi="ar"/>
              </w:rPr>
            </w:pPr>
          </w:p>
        </w:tc>
      </w:tr>
      <w:tr w14:paraId="4B6E7976">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108" w:type="dxa"/>
            <w:bottom w:w="0" w:type="dxa"/>
            <w:right w:w="108" w:type="dxa"/>
          </w:tblCellMar>
        </w:tblPrEx>
        <w:trPr>
          <w:trHeight w:val="530" w:hRule="atLeast"/>
          <w:jc w:val="center"/>
        </w:trPr>
        <w:tc>
          <w:tcPr>
            <w:tcW w:w="1186" w:type="dxa"/>
            <w:vMerge w:val="continue"/>
            <w:noWrap w:val="0"/>
            <w:vAlign w:val="center"/>
          </w:tcPr>
          <w:p w14:paraId="012F12DC">
            <w:pPr>
              <w:widowControl/>
              <w:adjustRightInd w:val="0"/>
              <w:snapToGrid w:val="0"/>
              <w:spacing w:line="100" w:lineRule="atLeast"/>
              <w:jc w:val="center"/>
              <w:rPr>
                <w:rFonts w:hint="eastAsia" w:ascii="宋体" w:hAnsi="宋体" w:eastAsia="宋体" w:cs="宋体"/>
                <w:color w:val="000000"/>
                <w:sz w:val="24"/>
                <w:szCs w:val="24"/>
                <w:highlight w:val="none"/>
              </w:rPr>
            </w:pPr>
          </w:p>
        </w:tc>
        <w:tc>
          <w:tcPr>
            <w:tcW w:w="522" w:type="dxa"/>
            <w:noWrap w:val="0"/>
            <w:tcMar>
              <w:top w:w="15" w:type="dxa"/>
              <w:left w:w="15" w:type="dxa"/>
              <w:bottom w:w="15" w:type="dxa"/>
              <w:right w:w="15" w:type="dxa"/>
            </w:tcMar>
            <w:vAlign w:val="center"/>
          </w:tcPr>
          <w:p w14:paraId="054382E2">
            <w:pPr>
              <w:widowControl/>
              <w:adjustRightInd w:val="0"/>
              <w:snapToGrid w:val="0"/>
              <w:spacing w:line="100" w:lineRule="atLeast"/>
              <w:jc w:val="center"/>
              <w:textAlignment w:val="center"/>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kern w:val="0"/>
                <w:sz w:val="24"/>
                <w:szCs w:val="24"/>
                <w:highlight w:val="none"/>
                <w:lang w:val="en-US" w:eastAsia="zh-CN" w:bidi="ar"/>
              </w:rPr>
              <w:t>13</w:t>
            </w:r>
          </w:p>
        </w:tc>
        <w:tc>
          <w:tcPr>
            <w:tcW w:w="4050" w:type="dxa"/>
            <w:noWrap w:val="0"/>
            <w:tcMar>
              <w:top w:w="15" w:type="dxa"/>
              <w:left w:w="15" w:type="dxa"/>
              <w:bottom w:w="15" w:type="dxa"/>
              <w:right w:w="15" w:type="dxa"/>
            </w:tcMar>
            <w:vAlign w:val="center"/>
          </w:tcPr>
          <w:p w14:paraId="4EB5829B">
            <w:pPr>
              <w:widowControl/>
              <w:adjustRightInd w:val="0"/>
              <w:snapToGrid w:val="0"/>
              <w:spacing w:line="100" w:lineRule="atLeast"/>
              <w:textAlignment w:val="center"/>
              <w:rPr>
                <w:rFonts w:hint="eastAsia" w:ascii="宋体" w:hAnsi="宋体" w:eastAsia="宋体" w:cs="宋体"/>
                <w:color w:val="000000"/>
                <w:sz w:val="24"/>
                <w:szCs w:val="24"/>
                <w:highlight w:val="none"/>
              </w:rPr>
            </w:pPr>
            <w:r>
              <w:rPr>
                <w:rFonts w:hint="eastAsia" w:ascii="宋体" w:hAnsi="宋体" w:eastAsia="宋体" w:cs="宋体"/>
                <w:color w:val="000000"/>
                <w:kern w:val="0"/>
                <w:sz w:val="24"/>
                <w:szCs w:val="24"/>
                <w:highlight w:val="none"/>
                <w:lang w:bidi="ar"/>
              </w:rPr>
              <w:t>成品存放的温度、时间符合要求，食品再加热符合要求。</w:t>
            </w:r>
          </w:p>
        </w:tc>
        <w:tc>
          <w:tcPr>
            <w:tcW w:w="735" w:type="dxa"/>
            <w:noWrap w:val="0"/>
            <w:tcMar>
              <w:top w:w="15" w:type="dxa"/>
              <w:left w:w="15" w:type="dxa"/>
              <w:bottom w:w="15" w:type="dxa"/>
              <w:right w:w="15" w:type="dxa"/>
            </w:tcMar>
            <w:vAlign w:val="center"/>
          </w:tcPr>
          <w:p w14:paraId="05C73C6B">
            <w:pPr>
              <w:widowControl/>
              <w:adjustRightInd w:val="0"/>
              <w:snapToGrid w:val="0"/>
              <w:spacing w:line="100" w:lineRule="atLeast"/>
              <w:jc w:val="center"/>
              <w:textAlignment w:val="center"/>
              <w:rPr>
                <w:rFonts w:hint="eastAsia" w:ascii="宋体" w:hAnsi="宋体" w:eastAsia="宋体" w:cs="宋体"/>
                <w:color w:val="000000"/>
                <w:kern w:val="0"/>
                <w:sz w:val="24"/>
                <w:szCs w:val="24"/>
                <w:highlight w:val="none"/>
                <w:lang w:val="en-US" w:eastAsia="zh-CN" w:bidi="ar"/>
              </w:rPr>
            </w:pPr>
            <w:r>
              <w:rPr>
                <w:rFonts w:hint="eastAsia" w:ascii="宋体" w:hAnsi="宋体" w:eastAsia="宋体" w:cs="宋体"/>
                <w:color w:val="000000"/>
                <w:kern w:val="0"/>
                <w:sz w:val="24"/>
                <w:szCs w:val="24"/>
                <w:highlight w:val="none"/>
                <w:lang w:val="en-US" w:eastAsia="zh-CN" w:bidi="ar"/>
              </w:rPr>
              <w:t>10</w:t>
            </w:r>
          </w:p>
        </w:tc>
        <w:tc>
          <w:tcPr>
            <w:tcW w:w="1305" w:type="dxa"/>
            <w:noWrap w:val="0"/>
            <w:tcMar>
              <w:top w:w="15" w:type="dxa"/>
              <w:left w:w="15" w:type="dxa"/>
              <w:bottom w:w="15" w:type="dxa"/>
              <w:right w:w="15" w:type="dxa"/>
            </w:tcMar>
            <w:vAlign w:val="center"/>
          </w:tcPr>
          <w:p w14:paraId="7C0D238F">
            <w:pPr>
              <w:widowControl/>
              <w:adjustRightInd w:val="0"/>
              <w:snapToGrid w:val="0"/>
              <w:spacing w:line="100" w:lineRule="atLeast"/>
              <w:jc w:val="center"/>
              <w:textAlignment w:val="center"/>
              <w:rPr>
                <w:rFonts w:hint="default" w:ascii="宋体" w:hAnsi="宋体" w:eastAsia="宋体" w:cs="宋体"/>
                <w:color w:val="000000"/>
                <w:kern w:val="0"/>
                <w:sz w:val="24"/>
                <w:szCs w:val="24"/>
                <w:highlight w:val="none"/>
                <w:lang w:val="en-US" w:eastAsia="zh-CN" w:bidi="ar"/>
              </w:rPr>
            </w:pPr>
            <w:r>
              <w:rPr>
                <w:rFonts w:hint="eastAsia" w:ascii="宋体" w:hAnsi="宋体" w:cs="宋体"/>
                <w:color w:val="000000"/>
                <w:kern w:val="0"/>
                <w:sz w:val="24"/>
                <w:szCs w:val="24"/>
                <w:highlight w:val="none"/>
                <w:lang w:val="en-US" w:eastAsia="zh-CN" w:bidi="ar"/>
              </w:rPr>
              <w:t>2</w:t>
            </w:r>
          </w:p>
        </w:tc>
        <w:tc>
          <w:tcPr>
            <w:tcW w:w="820" w:type="dxa"/>
            <w:noWrap w:val="0"/>
            <w:tcMar>
              <w:top w:w="15" w:type="dxa"/>
              <w:left w:w="15" w:type="dxa"/>
              <w:bottom w:w="15" w:type="dxa"/>
              <w:right w:w="15" w:type="dxa"/>
            </w:tcMar>
            <w:vAlign w:val="center"/>
          </w:tcPr>
          <w:p w14:paraId="5E4737B6">
            <w:pPr>
              <w:widowControl/>
              <w:adjustRightInd w:val="0"/>
              <w:snapToGrid w:val="0"/>
              <w:spacing w:line="100" w:lineRule="atLeast"/>
              <w:jc w:val="center"/>
              <w:textAlignment w:val="center"/>
              <w:rPr>
                <w:rFonts w:hint="eastAsia" w:ascii="宋体" w:hAnsi="宋体" w:eastAsia="宋体" w:cs="宋体"/>
                <w:color w:val="000000"/>
                <w:kern w:val="0"/>
                <w:sz w:val="24"/>
                <w:szCs w:val="24"/>
                <w:highlight w:val="none"/>
                <w:lang w:bidi="ar"/>
              </w:rPr>
            </w:pPr>
          </w:p>
        </w:tc>
        <w:tc>
          <w:tcPr>
            <w:tcW w:w="870" w:type="dxa"/>
            <w:noWrap w:val="0"/>
            <w:tcMar>
              <w:top w:w="15" w:type="dxa"/>
              <w:left w:w="15" w:type="dxa"/>
              <w:bottom w:w="15" w:type="dxa"/>
              <w:right w:w="15" w:type="dxa"/>
            </w:tcMar>
            <w:vAlign w:val="center"/>
          </w:tcPr>
          <w:p w14:paraId="706361BC">
            <w:pPr>
              <w:widowControl/>
              <w:adjustRightInd w:val="0"/>
              <w:snapToGrid w:val="0"/>
              <w:spacing w:line="100" w:lineRule="atLeast"/>
              <w:jc w:val="center"/>
              <w:textAlignment w:val="center"/>
              <w:rPr>
                <w:rFonts w:hint="eastAsia" w:ascii="宋体" w:hAnsi="宋体" w:eastAsia="宋体" w:cs="宋体"/>
                <w:color w:val="000000"/>
                <w:kern w:val="0"/>
                <w:sz w:val="24"/>
                <w:szCs w:val="24"/>
                <w:highlight w:val="none"/>
                <w:lang w:bidi="ar"/>
              </w:rPr>
            </w:pPr>
          </w:p>
        </w:tc>
      </w:tr>
      <w:tr w14:paraId="6208804D">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108" w:type="dxa"/>
            <w:bottom w:w="0" w:type="dxa"/>
            <w:right w:w="108" w:type="dxa"/>
          </w:tblCellMar>
        </w:tblPrEx>
        <w:trPr>
          <w:trHeight w:val="705" w:hRule="atLeast"/>
          <w:jc w:val="center"/>
        </w:trPr>
        <w:tc>
          <w:tcPr>
            <w:tcW w:w="1186" w:type="dxa"/>
            <w:noWrap w:val="0"/>
            <w:tcMar>
              <w:top w:w="15" w:type="dxa"/>
              <w:left w:w="15" w:type="dxa"/>
              <w:bottom w:w="15" w:type="dxa"/>
              <w:right w:w="15" w:type="dxa"/>
            </w:tcMar>
            <w:vAlign w:val="center"/>
          </w:tcPr>
          <w:p w14:paraId="73B745B6">
            <w:pPr>
              <w:widowControl/>
              <w:adjustRightInd w:val="0"/>
              <w:snapToGrid w:val="0"/>
              <w:spacing w:line="100" w:lineRule="atLeast"/>
              <w:jc w:val="center"/>
              <w:textAlignment w:val="center"/>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kern w:val="0"/>
                <w:sz w:val="24"/>
                <w:szCs w:val="24"/>
                <w:highlight w:val="none"/>
                <w:lang w:val="en-US" w:eastAsia="zh-CN" w:bidi="ar"/>
              </w:rPr>
              <w:t>5.餐具管理</w:t>
            </w:r>
          </w:p>
        </w:tc>
        <w:tc>
          <w:tcPr>
            <w:tcW w:w="522" w:type="dxa"/>
            <w:noWrap w:val="0"/>
            <w:tcMar>
              <w:top w:w="15" w:type="dxa"/>
              <w:left w:w="15" w:type="dxa"/>
              <w:bottom w:w="15" w:type="dxa"/>
              <w:right w:w="15" w:type="dxa"/>
            </w:tcMar>
            <w:vAlign w:val="center"/>
          </w:tcPr>
          <w:p w14:paraId="549E5783">
            <w:pPr>
              <w:widowControl/>
              <w:adjustRightInd w:val="0"/>
              <w:snapToGrid w:val="0"/>
              <w:spacing w:line="100" w:lineRule="atLeast"/>
              <w:jc w:val="center"/>
              <w:textAlignment w:val="center"/>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14</w:t>
            </w:r>
          </w:p>
        </w:tc>
        <w:tc>
          <w:tcPr>
            <w:tcW w:w="4050" w:type="dxa"/>
            <w:noWrap w:val="0"/>
            <w:tcMar>
              <w:top w:w="15" w:type="dxa"/>
              <w:left w:w="15" w:type="dxa"/>
              <w:bottom w:w="15" w:type="dxa"/>
              <w:right w:w="15" w:type="dxa"/>
            </w:tcMar>
            <w:vAlign w:val="center"/>
          </w:tcPr>
          <w:p w14:paraId="2A963820">
            <w:pPr>
              <w:widowControl/>
              <w:adjustRightInd w:val="0"/>
              <w:snapToGrid w:val="0"/>
              <w:spacing w:line="100" w:lineRule="atLeast"/>
              <w:jc w:val="left"/>
              <w:textAlignment w:val="center"/>
              <w:rPr>
                <w:rFonts w:hint="eastAsia" w:ascii="宋体" w:hAnsi="宋体" w:eastAsia="宋体" w:cs="宋体"/>
                <w:color w:val="000000"/>
                <w:sz w:val="24"/>
                <w:szCs w:val="24"/>
                <w:highlight w:val="none"/>
              </w:rPr>
            </w:pPr>
            <w:r>
              <w:rPr>
                <w:rFonts w:hint="eastAsia" w:ascii="宋体" w:hAnsi="宋体" w:eastAsia="宋体" w:cs="宋体"/>
                <w:color w:val="000000"/>
                <w:kern w:val="0"/>
                <w:sz w:val="24"/>
                <w:szCs w:val="24"/>
                <w:highlight w:val="none"/>
                <w:lang w:bidi="ar"/>
              </w:rPr>
              <w:t>餐具、饮具和盛放直接入口食品的容器使用前洗净、消毒，已消毒的餐具、饮具按要求存放。</w:t>
            </w:r>
          </w:p>
        </w:tc>
        <w:tc>
          <w:tcPr>
            <w:tcW w:w="735" w:type="dxa"/>
            <w:noWrap w:val="0"/>
            <w:tcMar>
              <w:top w:w="15" w:type="dxa"/>
              <w:left w:w="15" w:type="dxa"/>
              <w:bottom w:w="15" w:type="dxa"/>
              <w:right w:w="15" w:type="dxa"/>
            </w:tcMar>
            <w:vAlign w:val="center"/>
          </w:tcPr>
          <w:p w14:paraId="56F8BF81">
            <w:pPr>
              <w:widowControl/>
              <w:adjustRightInd w:val="0"/>
              <w:snapToGrid w:val="0"/>
              <w:spacing w:line="100" w:lineRule="atLeast"/>
              <w:jc w:val="center"/>
              <w:textAlignment w:val="center"/>
              <w:rPr>
                <w:rFonts w:hint="eastAsia" w:ascii="宋体" w:hAnsi="宋体" w:eastAsia="宋体" w:cs="宋体"/>
                <w:color w:val="000000"/>
                <w:kern w:val="0"/>
                <w:sz w:val="24"/>
                <w:szCs w:val="24"/>
                <w:highlight w:val="none"/>
                <w:lang w:val="en-US" w:eastAsia="zh-CN" w:bidi="ar"/>
              </w:rPr>
            </w:pPr>
            <w:r>
              <w:rPr>
                <w:rFonts w:hint="eastAsia" w:ascii="宋体" w:hAnsi="宋体" w:eastAsia="宋体" w:cs="宋体"/>
                <w:color w:val="000000"/>
                <w:kern w:val="0"/>
                <w:sz w:val="24"/>
                <w:szCs w:val="24"/>
                <w:highlight w:val="none"/>
                <w:lang w:val="en-US" w:eastAsia="zh-CN" w:bidi="ar"/>
              </w:rPr>
              <w:t>5</w:t>
            </w:r>
          </w:p>
        </w:tc>
        <w:tc>
          <w:tcPr>
            <w:tcW w:w="1305" w:type="dxa"/>
            <w:noWrap w:val="0"/>
            <w:tcMar>
              <w:top w:w="15" w:type="dxa"/>
              <w:left w:w="15" w:type="dxa"/>
              <w:bottom w:w="15" w:type="dxa"/>
              <w:right w:w="15" w:type="dxa"/>
            </w:tcMar>
            <w:vAlign w:val="center"/>
          </w:tcPr>
          <w:p w14:paraId="52187692">
            <w:pPr>
              <w:widowControl/>
              <w:adjustRightInd w:val="0"/>
              <w:snapToGrid w:val="0"/>
              <w:spacing w:line="100" w:lineRule="atLeast"/>
              <w:jc w:val="center"/>
              <w:textAlignment w:val="center"/>
              <w:rPr>
                <w:rFonts w:hint="default" w:ascii="宋体" w:hAnsi="宋体" w:eastAsia="宋体" w:cs="宋体"/>
                <w:color w:val="000000"/>
                <w:kern w:val="0"/>
                <w:sz w:val="24"/>
                <w:szCs w:val="24"/>
                <w:highlight w:val="none"/>
                <w:lang w:val="en-US" w:eastAsia="zh-CN" w:bidi="ar"/>
              </w:rPr>
            </w:pPr>
            <w:r>
              <w:rPr>
                <w:rFonts w:hint="eastAsia" w:ascii="宋体" w:hAnsi="宋体" w:cs="宋体"/>
                <w:color w:val="000000"/>
                <w:kern w:val="0"/>
                <w:sz w:val="24"/>
                <w:szCs w:val="24"/>
                <w:highlight w:val="none"/>
                <w:lang w:val="en-US" w:eastAsia="zh-CN" w:bidi="ar"/>
              </w:rPr>
              <w:t>1</w:t>
            </w:r>
          </w:p>
        </w:tc>
        <w:tc>
          <w:tcPr>
            <w:tcW w:w="820" w:type="dxa"/>
            <w:noWrap w:val="0"/>
            <w:tcMar>
              <w:top w:w="15" w:type="dxa"/>
              <w:left w:w="15" w:type="dxa"/>
              <w:bottom w:w="15" w:type="dxa"/>
              <w:right w:w="15" w:type="dxa"/>
            </w:tcMar>
            <w:vAlign w:val="center"/>
          </w:tcPr>
          <w:p w14:paraId="44F68D26">
            <w:pPr>
              <w:widowControl/>
              <w:adjustRightInd w:val="0"/>
              <w:snapToGrid w:val="0"/>
              <w:spacing w:line="100" w:lineRule="atLeast"/>
              <w:jc w:val="center"/>
              <w:textAlignment w:val="center"/>
              <w:rPr>
                <w:rFonts w:hint="eastAsia" w:ascii="宋体" w:hAnsi="宋体" w:eastAsia="宋体" w:cs="宋体"/>
                <w:color w:val="000000"/>
                <w:kern w:val="0"/>
                <w:sz w:val="24"/>
                <w:szCs w:val="24"/>
                <w:highlight w:val="none"/>
                <w:lang w:bidi="ar"/>
              </w:rPr>
            </w:pPr>
          </w:p>
        </w:tc>
        <w:tc>
          <w:tcPr>
            <w:tcW w:w="870" w:type="dxa"/>
            <w:noWrap w:val="0"/>
            <w:tcMar>
              <w:top w:w="15" w:type="dxa"/>
              <w:left w:w="15" w:type="dxa"/>
              <w:bottom w:w="15" w:type="dxa"/>
              <w:right w:w="15" w:type="dxa"/>
            </w:tcMar>
            <w:vAlign w:val="center"/>
          </w:tcPr>
          <w:p w14:paraId="6F37B83B">
            <w:pPr>
              <w:widowControl/>
              <w:adjustRightInd w:val="0"/>
              <w:snapToGrid w:val="0"/>
              <w:spacing w:line="100" w:lineRule="atLeast"/>
              <w:jc w:val="center"/>
              <w:textAlignment w:val="center"/>
              <w:rPr>
                <w:rFonts w:hint="eastAsia" w:ascii="宋体" w:hAnsi="宋体" w:eastAsia="宋体" w:cs="宋体"/>
                <w:color w:val="000000"/>
                <w:kern w:val="0"/>
                <w:sz w:val="24"/>
                <w:szCs w:val="24"/>
                <w:highlight w:val="none"/>
                <w:lang w:bidi="ar"/>
              </w:rPr>
            </w:pPr>
          </w:p>
        </w:tc>
      </w:tr>
      <w:tr w14:paraId="26F92BE2">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108" w:type="dxa"/>
            <w:bottom w:w="0" w:type="dxa"/>
            <w:right w:w="108" w:type="dxa"/>
          </w:tblCellMar>
        </w:tblPrEx>
        <w:trPr>
          <w:trHeight w:val="629" w:hRule="atLeast"/>
          <w:jc w:val="center"/>
        </w:trPr>
        <w:tc>
          <w:tcPr>
            <w:tcW w:w="1186" w:type="dxa"/>
            <w:noWrap w:val="0"/>
            <w:tcMar>
              <w:top w:w="15" w:type="dxa"/>
              <w:left w:w="15" w:type="dxa"/>
              <w:bottom w:w="15" w:type="dxa"/>
              <w:right w:w="15" w:type="dxa"/>
            </w:tcMar>
            <w:vAlign w:val="center"/>
          </w:tcPr>
          <w:p w14:paraId="5401C4AB">
            <w:pPr>
              <w:adjustRightInd w:val="0"/>
              <w:snapToGrid w:val="0"/>
              <w:spacing w:line="100" w:lineRule="atLeast"/>
              <w:jc w:val="center"/>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6.</w:t>
            </w:r>
            <w:r>
              <w:rPr>
                <w:rFonts w:hint="eastAsia" w:ascii="宋体" w:hAnsi="宋体" w:eastAsia="宋体" w:cs="宋体"/>
                <w:color w:val="000000"/>
                <w:kern w:val="0"/>
                <w:sz w:val="24"/>
                <w:szCs w:val="24"/>
                <w:highlight w:val="none"/>
                <w:lang w:val="en-US" w:eastAsia="zh-CN" w:bidi="ar"/>
              </w:rPr>
              <w:t>食品配送</w:t>
            </w:r>
          </w:p>
        </w:tc>
        <w:tc>
          <w:tcPr>
            <w:tcW w:w="522" w:type="dxa"/>
            <w:noWrap w:val="0"/>
            <w:tcMar>
              <w:top w:w="15" w:type="dxa"/>
              <w:left w:w="15" w:type="dxa"/>
              <w:bottom w:w="15" w:type="dxa"/>
              <w:right w:w="15" w:type="dxa"/>
            </w:tcMar>
            <w:vAlign w:val="center"/>
          </w:tcPr>
          <w:p w14:paraId="5073994A">
            <w:pPr>
              <w:widowControl/>
              <w:adjustRightInd w:val="0"/>
              <w:snapToGrid w:val="0"/>
              <w:spacing w:line="100" w:lineRule="atLeast"/>
              <w:jc w:val="center"/>
              <w:textAlignment w:val="center"/>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15</w:t>
            </w:r>
          </w:p>
        </w:tc>
        <w:tc>
          <w:tcPr>
            <w:tcW w:w="4050" w:type="dxa"/>
            <w:noWrap w:val="0"/>
            <w:tcMar>
              <w:top w:w="15" w:type="dxa"/>
              <w:left w:w="15" w:type="dxa"/>
              <w:bottom w:w="15" w:type="dxa"/>
              <w:right w:w="15" w:type="dxa"/>
            </w:tcMar>
            <w:vAlign w:val="center"/>
          </w:tcPr>
          <w:p w14:paraId="5DA12BF6">
            <w:pPr>
              <w:widowControl/>
              <w:adjustRightInd w:val="0"/>
              <w:snapToGrid w:val="0"/>
              <w:spacing w:line="100" w:lineRule="atLeast"/>
              <w:jc w:val="left"/>
              <w:textAlignment w:val="center"/>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食品配送准确及时，食品存放干净卫生。</w:t>
            </w:r>
          </w:p>
        </w:tc>
        <w:tc>
          <w:tcPr>
            <w:tcW w:w="735" w:type="dxa"/>
            <w:noWrap w:val="0"/>
            <w:tcMar>
              <w:top w:w="15" w:type="dxa"/>
              <w:left w:w="15" w:type="dxa"/>
              <w:bottom w:w="15" w:type="dxa"/>
              <w:right w:w="15" w:type="dxa"/>
            </w:tcMar>
            <w:vAlign w:val="center"/>
          </w:tcPr>
          <w:p w14:paraId="3DBE8BD9">
            <w:pPr>
              <w:widowControl/>
              <w:adjustRightInd w:val="0"/>
              <w:snapToGrid w:val="0"/>
              <w:spacing w:line="100" w:lineRule="atLeast"/>
              <w:jc w:val="center"/>
              <w:textAlignment w:val="center"/>
              <w:rPr>
                <w:rFonts w:hint="eastAsia" w:ascii="宋体" w:hAnsi="宋体" w:eastAsia="宋体" w:cs="宋体"/>
                <w:color w:val="000000"/>
                <w:kern w:val="0"/>
                <w:sz w:val="24"/>
                <w:szCs w:val="24"/>
                <w:highlight w:val="none"/>
                <w:lang w:val="en-US" w:eastAsia="zh-CN" w:bidi="ar"/>
              </w:rPr>
            </w:pPr>
            <w:r>
              <w:rPr>
                <w:rFonts w:hint="eastAsia" w:ascii="宋体" w:hAnsi="宋体" w:eastAsia="宋体" w:cs="宋体"/>
                <w:color w:val="000000"/>
                <w:kern w:val="0"/>
                <w:sz w:val="24"/>
                <w:szCs w:val="24"/>
                <w:highlight w:val="none"/>
                <w:lang w:val="en-US" w:eastAsia="zh-CN" w:bidi="ar"/>
              </w:rPr>
              <w:t>10</w:t>
            </w:r>
          </w:p>
        </w:tc>
        <w:tc>
          <w:tcPr>
            <w:tcW w:w="1305" w:type="dxa"/>
            <w:tcBorders>
              <w:right w:val="single" w:color="auto" w:sz="4" w:space="0"/>
            </w:tcBorders>
            <w:noWrap w:val="0"/>
            <w:tcMar>
              <w:top w:w="15" w:type="dxa"/>
              <w:left w:w="15" w:type="dxa"/>
              <w:bottom w:w="15" w:type="dxa"/>
              <w:right w:w="15" w:type="dxa"/>
            </w:tcMar>
            <w:vAlign w:val="center"/>
          </w:tcPr>
          <w:p w14:paraId="04031458">
            <w:pPr>
              <w:widowControl/>
              <w:adjustRightInd w:val="0"/>
              <w:snapToGrid w:val="0"/>
              <w:spacing w:line="100" w:lineRule="atLeast"/>
              <w:jc w:val="center"/>
              <w:textAlignment w:val="center"/>
              <w:rPr>
                <w:rFonts w:hint="default" w:ascii="宋体" w:hAnsi="宋体" w:eastAsia="宋体" w:cs="宋体"/>
                <w:color w:val="000000"/>
                <w:kern w:val="0"/>
                <w:sz w:val="24"/>
                <w:szCs w:val="24"/>
                <w:highlight w:val="none"/>
                <w:lang w:val="en-US" w:eastAsia="zh-CN" w:bidi="ar"/>
              </w:rPr>
            </w:pPr>
            <w:r>
              <w:rPr>
                <w:rFonts w:hint="eastAsia" w:ascii="宋体" w:hAnsi="宋体" w:cs="宋体"/>
                <w:color w:val="000000"/>
                <w:kern w:val="0"/>
                <w:sz w:val="24"/>
                <w:szCs w:val="24"/>
                <w:highlight w:val="none"/>
                <w:lang w:val="en-US" w:eastAsia="zh-CN" w:bidi="ar"/>
              </w:rPr>
              <w:t>2</w:t>
            </w:r>
          </w:p>
        </w:tc>
        <w:tc>
          <w:tcPr>
            <w:tcW w:w="820" w:type="dxa"/>
            <w:tcBorders>
              <w:left w:val="single" w:color="auto" w:sz="4" w:space="0"/>
            </w:tcBorders>
            <w:noWrap w:val="0"/>
            <w:tcMar>
              <w:top w:w="15" w:type="dxa"/>
              <w:left w:w="15" w:type="dxa"/>
              <w:bottom w:w="15" w:type="dxa"/>
              <w:right w:w="15" w:type="dxa"/>
            </w:tcMar>
            <w:vAlign w:val="center"/>
          </w:tcPr>
          <w:p w14:paraId="6C5233C5">
            <w:pPr>
              <w:widowControl/>
              <w:adjustRightInd w:val="0"/>
              <w:snapToGrid w:val="0"/>
              <w:spacing w:line="100" w:lineRule="atLeast"/>
              <w:jc w:val="center"/>
              <w:textAlignment w:val="center"/>
              <w:rPr>
                <w:rFonts w:hint="eastAsia" w:ascii="宋体" w:hAnsi="宋体" w:eastAsia="宋体" w:cs="宋体"/>
                <w:color w:val="000000"/>
                <w:kern w:val="0"/>
                <w:sz w:val="24"/>
                <w:szCs w:val="24"/>
                <w:highlight w:val="none"/>
                <w:lang w:bidi="ar"/>
              </w:rPr>
            </w:pPr>
          </w:p>
        </w:tc>
        <w:tc>
          <w:tcPr>
            <w:tcW w:w="870" w:type="dxa"/>
            <w:noWrap w:val="0"/>
            <w:tcMar>
              <w:top w:w="15" w:type="dxa"/>
              <w:left w:w="15" w:type="dxa"/>
              <w:bottom w:w="15" w:type="dxa"/>
              <w:right w:w="15" w:type="dxa"/>
            </w:tcMar>
            <w:vAlign w:val="center"/>
          </w:tcPr>
          <w:p w14:paraId="2F6C600D">
            <w:pPr>
              <w:widowControl/>
              <w:adjustRightInd w:val="0"/>
              <w:snapToGrid w:val="0"/>
              <w:spacing w:line="100" w:lineRule="atLeast"/>
              <w:jc w:val="center"/>
              <w:textAlignment w:val="center"/>
              <w:rPr>
                <w:rFonts w:hint="eastAsia" w:ascii="宋体" w:hAnsi="宋体" w:eastAsia="宋体" w:cs="宋体"/>
                <w:color w:val="000000"/>
                <w:kern w:val="0"/>
                <w:sz w:val="24"/>
                <w:szCs w:val="24"/>
                <w:highlight w:val="none"/>
                <w:lang w:bidi="ar"/>
              </w:rPr>
            </w:pPr>
          </w:p>
        </w:tc>
      </w:tr>
      <w:tr w14:paraId="2D848869">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108" w:type="dxa"/>
            <w:bottom w:w="0" w:type="dxa"/>
            <w:right w:w="108" w:type="dxa"/>
          </w:tblCellMar>
        </w:tblPrEx>
        <w:trPr>
          <w:trHeight w:val="849" w:hRule="atLeast"/>
          <w:jc w:val="center"/>
        </w:trPr>
        <w:tc>
          <w:tcPr>
            <w:tcW w:w="7798" w:type="dxa"/>
            <w:gridSpan w:val="5"/>
            <w:tcBorders>
              <w:right w:val="single" w:color="auto" w:sz="4" w:space="0"/>
            </w:tcBorders>
            <w:noWrap w:val="0"/>
            <w:tcMar>
              <w:top w:w="15" w:type="dxa"/>
              <w:left w:w="15" w:type="dxa"/>
              <w:bottom w:w="15" w:type="dxa"/>
              <w:right w:w="15" w:type="dxa"/>
            </w:tcMar>
            <w:vAlign w:val="center"/>
          </w:tcPr>
          <w:p w14:paraId="5F0D6DA7">
            <w:pPr>
              <w:widowControl/>
              <w:adjustRightInd w:val="0"/>
              <w:snapToGrid w:val="0"/>
              <w:spacing w:line="100" w:lineRule="atLeast"/>
              <w:jc w:val="left"/>
              <w:textAlignment w:val="center"/>
              <w:rPr>
                <w:rFonts w:hint="eastAsia" w:ascii="宋体" w:hAnsi="宋体" w:eastAsia="宋体" w:cs="宋体"/>
                <w:color w:val="000000"/>
                <w:kern w:val="0"/>
                <w:sz w:val="24"/>
                <w:szCs w:val="24"/>
                <w:highlight w:val="none"/>
                <w:lang w:val="en-US" w:eastAsia="zh-CN" w:bidi="ar"/>
              </w:rPr>
            </w:pPr>
            <w:r>
              <w:rPr>
                <w:rFonts w:hint="eastAsia" w:ascii="宋体" w:hAnsi="宋体" w:eastAsia="宋体" w:cs="宋体"/>
                <w:color w:val="000000"/>
                <w:kern w:val="0"/>
                <w:sz w:val="24"/>
                <w:szCs w:val="24"/>
                <w:highlight w:val="none"/>
              </w:rPr>
              <w:t>考核得分</w:t>
            </w:r>
          </w:p>
        </w:tc>
        <w:tc>
          <w:tcPr>
            <w:tcW w:w="1690" w:type="dxa"/>
            <w:gridSpan w:val="2"/>
            <w:tcBorders>
              <w:left w:val="single" w:color="auto" w:sz="4" w:space="0"/>
            </w:tcBorders>
            <w:noWrap w:val="0"/>
            <w:tcMar>
              <w:top w:w="15" w:type="dxa"/>
              <w:left w:w="15" w:type="dxa"/>
              <w:bottom w:w="15" w:type="dxa"/>
              <w:right w:w="15" w:type="dxa"/>
            </w:tcMar>
            <w:vAlign w:val="center"/>
          </w:tcPr>
          <w:p w14:paraId="44623245">
            <w:pPr>
              <w:widowControl/>
              <w:adjustRightInd w:val="0"/>
              <w:snapToGrid w:val="0"/>
              <w:spacing w:line="100" w:lineRule="atLeast"/>
              <w:jc w:val="left"/>
              <w:textAlignment w:val="center"/>
              <w:rPr>
                <w:rFonts w:hint="eastAsia" w:ascii="宋体" w:hAnsi="宋体" w:eastAsia="宋体" w:cs="宋体"/>
                <w:color w:val="000000"/>
                <w:kern w:val="0"/>
                <w:sz w:val="24"/>
                <w:szCs w:val="24"/>
                <w:highlight w:val="none"/>
              </w:rPr>
            </w:pPr>
          </w:p>
        </w:tc>
      </w:tr>
      <w:tr w14:paraId="07321181">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108" w:type="dxa"/>
            <w:bottom w:w="0" w:type="dxa"/>
            <w:right w:w="108" w:type="dxa"/>
          </w:tblCellMar>
        </w:tblPrEx>
        <w:trPr>
          <w:trHeight w:val="849" w:hRule="atLeast"/>
          <w:jc w:val="center"/>
        </w:trPr>
        <w:tc>
          <w:tcPr>
            <w:tcW w:w="7798" w:type="dxa"/>
            <w:gridSpan w:val="5"/>
            <w:tcBorders>
              <w:right w:val="single" w:color="auto" w:sz="4" w:space="0"/>
            </w:tcBorders>
            <w:noWrap w:val="0"/>
            <w:tcMar>
              <w:top w:w="15" w:type="dxa"/>
              <w:left w:w="15" w:type="dxa"/>
              <w:bottom w:w="15" w:type="dxa"/>
              <w:right w:w="15" w:type="dxa"/>
            </w:tcMar>
            <w:vAlign w:val="center"/>
          </w:tcPr>
          <w:p w14:paraId="4393135A">
            <w:pPr>
              <w:widowControl/>
              <w:adjustRightInd w:val="0"/>
              <w:snapToGrid w:val="0"/>
              <w:spacing w:line="100" w:lineRule="atLeast"/>
              <w:jc w:val="left"/>
              <w:textAlignment w:val="center"/>
              <w:rPr>
                <w:rFonts w:hint="eastAsia" w:ascii="宋体" w:hAnsi="宋体" w:eastAsia="宋体" w:cs="宋体"/>
                <w:color w:val="000000"/>
                <w:kern w:val="0"/>
                <w:sz w:val="24"/>
                <w:szCs w:val="24"/>
                <w:highlight w:val="none"/>
              </w:rPr>
            </w:pPr>
            <w:r>
              <w:rPr>
                <w:rFonts w:hint="eastAsia" w:ascii="宋体" w:hAnsi="宋体" w:eastAsia="宋体" w:cs="宋体"/>
                <w:color w:val="000000"/>
                <w:kern w:val="0"/>
                <w:sz w:val="24"/>
                <w:szCs w:val="24"/>
                <w:highlight w:val="none"/>
              </w:rPr>
              <w:t>考核小组人员签名</w:t>
            </w:r>
          </w:p>
        </w:tc>
        <w:tc>
          <w:tcPr>
            <w:tcW w:w="1690" w:type="dxa"/>
            <w:gridSpan w:val="2"/>
            <w:tcBorders>
              <w:left w:val="single" w:color="auto" w:sz="4" w:space="0"/>
            </w:tcBorders>
            <w:noWrap w:val="0"/>
            <w:tcMar>
              <w:top w:w="15" w:type="dxa"/>
              <w:left w:w="15" w:type="dxa"/>
              <w:bottom w:w="15" w:type="dxa"/>
              <w:right w:w="15" w:type="dxa"/>
            </w:tcMar>
            <w:vAlign w:val="center"/>
          </w:tcPr>
          <w:p w14:paraId="7198F214">
            <w:pPr>
              <w:widowControl/>
              <w:adjustRightInd w:val="0"/>
              <w:snapToGrid w:val="0"/>
              <w:spacing w:line="100" w:lineRule="atLeast"/>
              <w:jc w:val="left"/>
              <w:textAlignment w:val="center"/>
              <w:rPr>
                <w:rFonts w:hint="eastAsia" w:ascii="宋体" w:hAnsi="宋体" w:eastAsia="宋体" w:cs="宋体"/>
                <w:color w:val="000000"/>
                <w:kern w:val="0"/>
                <w:sz w:val="24"/>
                <w:szCs w:val="24"/>
                <w:highlight w:val="none"/>
              </w:rPr>
            </w:pPr>
          </w:p>
        </w:tc>
      </w:tr>
      <w:tr w14:paraId="2A432864">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108" w:type="dxa"/>
            <w:bottom w:w="0" w:type="dxa"/>
            <w:right w:w="108" w:type="dxa"/>
          </w:tblCellMar>
        </w:tblPrEx>
        <w:trPr>
          <w:trHeight w:val="849" w:hRule="atLeast"/>
          <w:jc w:val="center"/>
        </w:trPr>
        <w:tc>
          <w:tcPr>
            <w:tcW w:w="7798" w:type="dxa"/>
            <w:gridSpan w:val="5"/>
            <w:tcBorders>
              <w:right w:val="single" w:color="auto" w:sz="4" w:space="0"/>
            </w:tcBorders>
            <w:noWrap w:val="0"/>
            <w:tcMar>
              <w:top w:w="15" w:type="dxa"/>
              <w:left w:w="15" w:type="dxa"/>
              <w:bottom w:w="15" w:type="dxa"/>
              <w:right w:w="15" w:type="dxa"/>
            </w:tcMar>
            <w:vAlign w:val="center"/>
          </w:tcPr>
          <w:p w14:paraId="2D69DB54">
            <w:pPr>
              <w:widowControl/>
              <w:adjustRightInd w:val="0"/>
              <w:snapToGrid w:val="0"/>
              <w:spacing w:line="100" w:lineRule="atLeast"/>
              <w:jc w:val="left"/>
              <w:textAlignment w:val="center"/>
              <w:rPr>
                <w:rFonts w:hint="eastAsia" w:ascii="宋体" w:hAnsi="宋体" w:eastAsia="宋体" w:cs="宋体"/>
                <w:color w:val="000000"/>
                <w:kern w:val="0"/>
                <w:sz w:val="24"/>
                <w:szCs w:val="24"/>
                <w:highlight w:val="none"/>
              </w:rPr>
            </w:pPr>
            <w:r>
              <w:rPr>
                <w:rFonts w:hint="eastAsia" w:ascii="宋体" w:hAnsi="宋体" w:eastAsia="宋体" w:cs="宋体"/>
                <w:color w:val="000000"/>
                <w:kern w:val="0"/>
                <w:sz w:val="24"/>
                <w:szCs w:val="24"/>
                <w:highlight w:val="none"/>
              </w:rPr>
              <w:t>服务单位项目负责人签名</w:t>
            </w:r>
          </w:p>
        </w:tc>
        <w:tc>
          <w:tcPr>
            <w:tcW w:w="1690" w:type="dxa"/>
            <w:gridSpan w:val="2"/>
            <w:tcBorders>
              <w:left w:val="single" w:color="auto" w:sz="4" w:space="0"/>
            </w:tcBorders>
            <w:noWrap w:val="0"/>
            <w:tcMar>
              <w:top w:w="15" w:type="dxa"/>
              <w:left w:w="15" w:type="dxa"/>
              <w:bottom w:w="15" w:type="dxa"/>
              <w:right w:w="15" w:type="dxa"/>
            </w:tcMar>
            <w:vAlign w:val="center"/>
          </w:tcPr>
          <w:p w14:paraId="777F6099">
            <w:pPr>
              <w:widowControl/>
              <w:adjustRightInd w:val="0"/>
              <w:snapToGrid w:val="0"/>
              <w:spacing w:line="100" w:lineRule="atLeast"/>
              <w:jc w:val="left"/>
              <w:textAlignment w:val="center"/>
              <w:rPr>
                <w:rFonts w:hint="eastAsia" w:ascii="宋体" w:hAnsi="宋体" w:eastAsia="宋体" w:cs="宋体"/>
                <w:color w:val="000000"/>
                <w:kern w:val="0"/>
                <w:sz w:val="24"/>
                <w:szCs w:val="24"/>
                <w:highlight w:val="none"/>
              </w:rPr>
            </w:pPr>
          </w:p>
        </w:tc>
      </w:tr>
    </w:tbl>
    <w:p w14:paraId="26B5246D">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注：</w:t>
      </w:r>
    </w:p>
    <w:p w14:paraId="1DED7498">
      <w:pPr>
        <w:keepNext w:val="0"/>
        <w:keepLines w:val="0"/>
        <w:pageBreakBefore w:val="0"/>
        <w:widowControl w:val="0"/>
        <w:numPr>
          <w:ilvl w:val="0"/>
          <w:numId w:val="0"/>
        </w:numPr>
        <w:kinsoku/>
        <w:wordWrap/>
        <w:overflowPunct/>
        <w:topLinePunct w:val="0"/>
        <w:autoSpaceDE/>
        <w:autoSpaceDN/>
        <w:bidi w:val="0"/>
        <w:adjustRightInd/>
        <w:snapToGrid/>
        <w:spacing w:line="440" w:lineRule="exact"/>
        <w:textAlignment w:val="auto"/>
        <w:rPr>
          <w:rFonts w:hint="eastAsia" w:ascii="宋体" w:hAnsi="宋体" w:eastAsia="宋体" w:cs="宋体"/>
          <w:sz w:val="24"/>
          <w:szCs w:val="24"/>
          <w:highlight w:val="none"/>
        </w:rPr>
      </w:pPr>
      <w:r>
        <w:rPr>
          <w:rFonts w:hint="eastAsia" w:ascii="宋体" w:hAnsi="宋体" w:eastAsia="宋体" w:cs="宋体"/>
          <w:kern w:val="2"/>
          <w:sz w:val="24"/>
          <w:szCs w:val="24"/>
          <w:highlight w:val="none"/>
          <w:lang w:val="en-US" w:eastAsia="zh-CN" w:bidi="ar-SA"/>
        </w:rPr>
        <w:t>1、</w:t>
      </w:r>
      <w:r>
        <w:rPr>
          <w:rFonts w:hint="eastAsia" w:ascii="宋体" w:hAnsi="宋体" w:eastAsia="宋体" w:cs="宋体"/>
          <w:sz w:val="24"/>
          <w:szCs w:val="24"/>
          <w:highlight w:val="none"/>
        </w:rPr>
        <w:t>优秀（90分及以上）：全额支付当月服务费。</w:t>
      </w:r>
    </w:p>
    <w:p w14:paraId="3931CAF7">
      <w:pPr>
        <w:keepNext w:val="0"/>
        <w:keepLines w:val="0"/>
        <w:pageBreakBefore w:val="0"/>
        <w:widowControl w:val="0"/>
        <w:numPr>
          <w:ilvl w:val="0"/>
          <w:numId w:val="0"/>
        </w:numPr>
        <w:kinsoku/>
        <w:wordWrap/>
        <w:overflowPunct/>
        <w:topLinePunct w:val="0"/>
        <w:autoSpaceDE/>
        <w:autoSpaceDN/>
        <w:bidi w:val="0"/>
        <w:adjustRightInd/>
        <w:snapToGrid/>
        <w:spacing w:line="440" w:lineRule="exact"/>
        <w:ind w:left="0" w:leftChars="0" w:firstLine="0" w:firstLineChars="0"/>
        <w:textAlignment w:val="auto"/>
        <w:rPr>
          <w:rFonts w:hint="eastAsia" w:ascii="宋体" w:hAnsi="宋体" w:eastAsia="宋体" w:cs="宋体"/>
          <w:sz w:val="24"/>
          <w:szCs w:val="24"/>
          <w:highlight w:val="none"/>
        </w:rPr>
      </w:pPr>
      <w:r>
        <w:rPr>
          <w:rFonts w:hint="eastAsia" w:ascii="宋体" w:hAnsi="宋体" w:eastAsia="宋体" w:cs="宋体"/>
          <w:kern w:val="2"/>
          <w:sz w:val="24"/>
          <w:szCs w:val="24"/>
          <w:highlight w:val="none"/>
          <w:lang w:val="en-US" w:eastAsia="zh-CN" w:bidi="ar-SA"/>
        </w:rPr>
        <w:t>2、</w:t>
      </w:r>
      <w:r>
        <w:rPr>
          <w:rFonts w:hint="eastAsia" w:ascii="宋体" w:hAnsi="宋体" w:eastAsia="宋体" w:cs="宋体"/>
          <w:sz w:val="24"/>
          <w:szCs w:val="24"/>
          <w:highlight w:val="none"/>
        </w:rPr>
        <w:t>合格（80</w:t>
      </w:r>
      <w:r>
        <w:rPr>
          <w:rFonts w:hint="eastAsia" w:ascii="宋体" w:hAnsi="宋体" w:eastAsia="宋体" w:cs="宋体"/>
          <w:sz w:val="24"/>
          <w:szCs w:val="24"/>
          <w:highlight w:val="none"/>
          <w:lang w:val="en-US" w:eastAsia="zh-CN"/>
        </w:rPr>
        <w:t>分-</w:t>
      </w:r>
      <w:r>
        <w:rPr>
          <w:rFonts w:hint="eastAsia" w:ascii="宋体" w:hAnsi="宋体" w:eastAsia="宋体" w:cs="宋体"/>
          <w:sz w:val="24"/>
          <w:szCs w:val="24"/>
          <w:highlight w:val="none"/>
        </w:rPr>
        <w:t>89分）：扣除当月服务费的5%，并要求书面整改。</w:t>
      </w:r>
    </w:p>
    <w:p w14:paraId="37F7CE37">
      <w:pPr>
        <w:keepNext w:val="0"/>
        <w:keepLines w:val="0"/>
        <w:pageBreakBefore w:val="0"/>
        <w:widowControl w:val="0"/>
        <w:numPr>
          <w:ilvl w:val="0"/>
          <w:numId w:val="0"/>
        </w:numPr>
        <w:kinsoku/>
        <w:wordWrap/>
        <w:overflowPunct/>
        <w:topLinePunct w:val="0"/>
        <w:autoSpaceDE/>
        <w:autoSpaceDN/>
        <w:bidi w:val="0"/>
        <w:adjustRightInd/>
        <w:snapToGrid/>
        <w:spacing w:line="440" w:lineRule="exact"/>
        <w:ind w:left="0" w:leftChars="0" w:firstLine="0" w:firstLineChars="0"/>
        <w:textAlignment w:val="auto"/>
        <w:rPr>
          <w:rFonts w:hint="eastAsia" w:ascii="宋体" w:hAnsi="宋体" w:eastAsia="宋体" w:cs="宋体"/>
          <w:sz w:val="24"/>
          <w:szCs w:val="24"/>
          <w:highlight w:val="none"/>
        </w:rPr>
      </w:pPr>
      <w:r>
        <w:rPr>
          <w:rFonts w:hint="eastAsia" w:ascii="宋体" w:hAnsi="宋体" w:eastAsia="宋体" w:cs="宋体"/>
          <w:kern w:val="2"/>
          <w:sz w:val="24"/>
          <w:szCs w:val="24"/>
          <w:highlight w:val="none"/>
          <w:lang w:val="en-US" w:eastAsia="zh-CN" w:bidi="ar-SA"/>
        </w:rPr>
        <w:t>3、</w:t>
      </w:r>
      <w:r>
        <w:rPr>
          <w:rFonts w:hint="eastAsia" w:ascii="宋体" w:hAnsi="宋体" w:eastAsia="宋体" w:cs="宋体"/>
          <w:sz w:val="24"/>
          <w:szCs w:val="24"/>
          <w:highlight w:val="none"/>
        </w:rPr>
        <w:t>基本合格（70分-79分）：扣除当月服务费的15%，约谈负责人。</w:t>
      </w:r>
    </w:p>
    <w:p w14:paraId="666DF629">
      <w:pPr>
        <w:keepNext w:val="0"/>
        <w:keepLines w:val="0"/>
        <w:pageBreakBefore w:val="0"/>
        <w:widowControl w:val="0"/>
        <w:numPr>
          <w:ilvl w:val="0"/>
          <w:numId w:val="0"/>
        </w:numPr>
        <w:kinsoku/>
        <w:wordWrap/>
        <w:overflowPunct/>
        <w:topLinePunct w:val="0"/>
        <w:autoSpaceDE/>
        <w:autoSpaceDN/>
        <w:bidi w:val="0"/>
        <w:adjustRightInd/>
        <w:snapToGrid/>
        <w:spacing w:line="440" w:lineRule="exact"/>
        <w:textAlignment w:val="auto"/>
        <w:rPr>
          <w:rFonts w:hint="eastAsia" w:ascii="宋体" w:hAnsi="宋体" w:eastAsia="宋体" w:cs="宋体"/>
          <w:sz w:val="24"/>
          <w:szCs w:val="24"/>
          <w:highlight w:val="none"/>
        </w:rPr>
      </w:pPr>
      <w:r>
        <w:rPr>
          <w:rFonts w:hint="eastAsia" w:ascii="宋体" w:hAnsi="宋体" w:eastAsia="宋体" w:cs="宋体"/>
          <w:kern w:val="2"/>
          <w:sz w:val="24"/>
          <w:szCs w:val="24"/>
          <w:highlight w:val="none"/>
          <w:lang w:val="en-US" w:eastAsia="zh-CN" w:bidi="ar-SA"/>
        </w:rPr>
        <w:t>4、</w:t>
      </w:r>
      <w:r>
        <w:rPr>
          <w:rFonts w:hint="eastAsia" w:ascii="宋体" w:hAnsi="宋体" w:eastAsia="宋体" w:cs="宋体"/>
          <w:sz w:val="24"/>
          <w:szCs w:val="24"/>
          <w:highlight w:val="none"/>
        </w:rPr>
        <w:t>不合格（70分以下）：扣除当月服务费的30%，并有权暂停配送资格或解除合同。</w:t>
      </w:r>
    </w:p>
    <w:p w14:paraId="24454E54">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5、中标人</w:t>
      </w:r>
      <w:r>
        <w:rPr>
          <w:rFonts w:hint="eastAsia" w:ascii="宋体" w:hAnsi="宋体" w:eastAsia="宋体" w:cs="宋体"/>
          <w:sz w:val="24"/>
          <w:szCs w:val="24"/>
          <w:highlight w:val="none"/>
        </w:rPr>
        <w:t>在服务期内出现下列情况之一者，采购人有权终止合同，责令限期退出：</w:t>
      </w:r>
    </w:p>
    <w:p w14:paraId="6D48C124">
      <w:pPr>
        <w:keepNext w:val="0"/>
        <w:keepLines w:val="0"/>
        <w:pageBreakBefore w:val="0"/>
        <w:widowControl w:val="0"/>
        <w:kinsoku/>
        <w:wordWrap/>
        <w:overflowPunct/>
        <w:topLinePunct w:val="0"/>
        <w:autoSpaceDE/>
        <w:autoSpaceDN/>
        <w:bidi w:val="0"/>
        <w:adjustRightInd/>
        <w:snapToGrid/>
        <w:spacing w:line="440" w:lineRule="exact"/>
        <w:ind w:firstLine="240" w:firstLineChars="100"/>
        <w:textAlignment w:val="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5</w:t>
      </w:r>
      <w:r>
        <w:rPr>
          <w:rFonts w:hint="eastAsia" w:ascii="宋体" w:hAnsi="宋体" w:eastAsia="宋体" w:cs="宋体"/>
          <w:sz w:val="24"/>
          <w:szCs w:val="24"/>
          <w:highlight w:val="none"/>
        </w:rPr>
        <w:t>.1出现上述“考核评分”连续3次不合格或一年内累计5次及以上不合格</w:t>
      </w:r>
      <w:r>
        <w:rPr>
          <w:rFonts w:hint="eastAsia" w:ascii="宋体" w:hAnsi="宋体" w:eastAsia="宋体" w:cs="宋体"/>
          <w:sz w:val="24"/>
          <w:szCs w:val="24"/>
          <w:highlight w:val="none"/>
          <w:lang w:eastAsia="zh-CN"/>
        </w:rPr>
        <w:t>；</w:t>
      </w:r>
    </w:p>
    <w:p w14:paraId="17C7F404">
      <w:pPr>
        <w:keepNext w:val="0"/>
        <w:keepLines w:val="0"/>
        <w:pageBreakBefore w:val="0"/>
        <w:widowControl w:val="0"/>
        <w:kinsoku/>
        <w:wordWrap/>
        <w:overflowPunct/>
        <w:topLinePunct w:val="0"/>
        <w:autoSpaceDE/>
        <w:autoSpaceDN/>
        <w:bidi w:val="0"/>
        <w:adjustRightInd/>
        <w:snapToGrid/>
        <w:spacing w:line="440" w:lineRule="exact"/>
        <w:ind w:firstLine="240" w:firstLineChars="1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5</w:t>
      </w:r>
      <w:r>
        <w:rPr>
          <w:rFonts w:hint="eastAsia" w:ascii="宋体" w:hAnsi="宋体" w:eastAsia="宋体" w:cs="宋体"/>
          <w:sz w:val="24"/>
          <w:szCs w:val="24"/>
          <w:highlight w:val="none"/>
        </w:rPr>
        <w:t>.2经营期间发生食物中毒或安全生产责任事故，且造成严重后果的；</w:t>
      </w:r>
    </w:p>
    <w:p w14:paraId="480073F8">
      <w:pPr>
        <w:keepNext w:val="0"/>
        <w:keepLines w:val="0"/>
        <w:pageBreakBefore w:val="0"/>
        <w:widowControl w:val="0"/>
        <w:kinsoku/>
        <w:wordWrap/>
        <w:overflowPunct/>
        <w:topLinePunct w:val="0"/>
        <w:autoSpaceDE/>
        <w:autoSpaceDN/>
        <w:bidi w:val="0"/>
        <w:adjustRightInd/>
        <w:snapToGrid/>
        <w:spacing w:line="440" w:lineRule="exact"/>
        <w:ind w:firstLine="240" w:firstLineChars="1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5</w:t>
      </w:r>
      <w:r>
        <w:rPr>
          <w:rFonts w:hint="eastAsia" w:ascii="宋体" w:hAnsi="宋体" w:eastAsia="宋体" w:cs="宋体"/>
          <w:sz w:val="24"/>
          <w:szCs w:val="24"/>
          <w:highlight w:val="none"/>
        </w:rPr>
        <w:t>.3因食品价格、质量、卫生和服务态度等而引发医护人员、患者及家属多次投诉或引发群体事件，影响恶劣的；</w:t>
      </w:r>
    </w:p>
    <w:p w14:paraId="50EC3319">
      <w:pPr>
        <w:keepNext w:val="0"/>
        <w:keepLines w:val="0"/>
        <w:pageBreakBefore w:val="0"/>
        <w:widowControl w:val="0"/>
        <w:kinsoku/>
        <w:wordWrap/>
        <w:overflowPunct/>
        <w:topLinePunct w:val="0"/>
        <w:autoSpaceDE/>
        <w:autoSpaceDN/>
        <w:bidi w:val="0"/>
        <w:adjustRightInd/>
        <w:snapToGrid/>
        <w:spacing w:line="440" w:lineRule="exact"/>
        <w:ind w:firstLine="240" w:firstLineChars="1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5</w:t>
      </w:r>
      <w:r>
        <w:rPr>
          <w:rFonts w:hint="eastAsia" w:ascii="宋体" w:hAnsi="宋体" w:eastAsia="宋体" w:cs="宋体"/>
          <w:sz w:val="24"/>
          <w:szCs w:val="24"/>
          <w:highlight w:val="none"/>
        </w:rPr>
        <w:t>.4在经营过程中，存在掺杂做假、销售无证食品、未按规定经营范围经营等违规行为，经采购人规劝、限期整改依然无效且情节严重的；</w:t>
      </w:r>
    </w:p>
    <w:p w14:paraId="61962E0D">
      <w:pPr>
        <w:keepNext w:val="0"/>
        <w:keepLines w:val="0"/>
        <w:pageBreakBefore w:val="0"/>
        <w:widowControl w:val="0"/>
        <w:kinsoku/>
        <w:wordWrap/>
        <w:overflowPunct/>
        <w:topLinePunct w:val="0"/>
        <w:autoSpaceDE/>
        <w:autoSpaceDN/>
        <w:bidi w:val="0"/>
        <w:adjustRightInd/>
        <w:snapToGrid/>
        <w:spacing w:line="440" w:lineRule="exact"/>
        <w:ind w:firstLine="240" w:firstLineChars="1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5.5</w:t>
      </w:r>
      <w:r>
        <w:rPr>
          <w:rFonts w:hint="eastAsia" w:ascii="宋体" w:hAnsi="宋体" w:eastAsia="宋体" w:cs="宋体"/>
          <w:sz w:val="24"/>
          <w:szCs w:val="24"/>
          <w:highlight w:val="none"/>
        </w:rPr>
        <w:t>在经营过程中存在转包、分包和挂靠经营行为的；</w:t>
      </w:r>
    </w:p>
    <w:p w14:paraId="625883CC">
      <w:pPr>
        <w:keepNext w:val="0"/>
        <w:keepLines w:val="0"/>
        <w:pageBreakBefore w:val="0"/>
        <w:widowControl w:val="0"/>
        <w:kinsoku/>
        <w:wordWrap/>
        <w:overflowPunct/>
        <w:topLinePunct w:val="0"/>
        <w:autoSpaceDE/>
        <w:autoSpaceDN/>
        <w:bidi w:val="0"/>
        <w:adjustRightInd/>
        <w:snapToGrid/>
        <w:spacing w:line="440" w:lineRule="exact"/>
        <w:ind w:firstLine="240" w:firstLineChars="1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5.6</w:t>
      </w:r>
      <w:r>
        <w:rPr>
          <w:rFonts w:hint="eastAsia" w:ascii="宋体" w:hAnsi="宋体" w:eastAsia="宋体" w:cs="宋体"/>
          <w:sz w:val="24"/>
          <w:szCs w:val="24"/>
          <w:highlight w:val="none"/>
        </w:rPr>
        <w:t>在经营过程中，因成交供应商过失导致一方或双方被行政处罚或其他违反法律法规导致严重后果的行为的；</w:t>
      </w:r>
    </w:p>
    <w:p w14:paraId="6941EBB5">
      <w:pPr>
        <w:keepNext w:val="0"/>
        <w:keepLines w:val="0"/>
        <w:pageBreakBefore w:val="0"/>
        <w:widowControl w:val="0"/>
        <w:kinsoku/>
        <w:wordWrap/>
        <w:overflowPunct/>
        <w:topLinePunct w:val="0"/>
        <w:autoSpaceDE/>
        <w:autoSpaceDN/>
        <w:bidi w:val="0"/>
        <w:adjustRightInd/>
        <w:snapToGrid/>
        <w:spacing w:line="440" w:lineRule="exact"/>
        <w:ind w:firstLine="240" w:firstLineChars="1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5.7</w:t>
      </w:r>
      <w:r>
        <w:rPr>
          <w:rFonts w:hint="eastAsia" w:ascii="宋体" w:hAnsi="宋体" w:eastAsia="宋体" w:cs="宋体"/>
          <w:sz w:val="24"/>
          <w:szCs w:val="24"/>
          <w:highlight w:val="none"/>
        </w:rPr>
        <w:t>投标时以弄虚作假等欺诈手段获得准入资格，或经营情况发生变化不符合准入条件的。</w:t>
      </w:r>
    </w:p>
    <w:p w14:paraId="7BCD4CA7">
      <w:pPr>
        <w:rPr>
          <w:rFonts w:hint="eastAsia" w:ascii="宋体" w:hAnsi="宋体" w:eastAsia="宋体" w:cs="宋体"/>
          <w:sz w:val="24"/>
          <w:szCs w:val="24"/>
          <w:highlight w:val="none"/>
        </w:rPr>
      </w:pPr>
    </w:p>
    <w:p w14:paraId="642060E5">
      <w:pPr>
        <w:widowControl/>
        <w:jc w:val="left"/>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rPr>
        <w:br w:type="page"/>
      </w:r>
    </w:p>
    <w:p w14:paraId="371C5DEA">
      <w:pPr>
        <w:pStyle w:val="2"/>
        <w:spacing w:line="440" w:lineRule="exact"/>
        <w:rPr>
          <w:rFonts w:hint="eastAsia" w:ascii="宋体" w:hAnsi="宋体" w:eastAsia="宋体" w:cs="宋体"/>
          <w:color w:val="auto"/>
          <w:highlight w:val="none"/>
        </w:rPr>
      </w:pPr>
      <w:bookmarkStart w:id="284" w:name="_Toc19861"/>
      <w:r>
        <w:rPr>
          <w:rFonts w:hint="eastAsia" w:ascii="宋体" w:hAnsi="宋体" w:eastAsia="宋体" w:cs="宋体"/>
          <w:color w:val="auto"/>
          <w:highlight w:val="none"/>
        </w:rPr>
        <w:t>第五章 评审方法与评审标准</w:t>
      </w:r>
      <w:bookmarkEnd w:id="276"/>
      <w:bookmarkEnd w:id="284"/>
    </w:p>
    <w:p w14:paraId="46736686">
      <w:pPr>
        <w:spacing w:line="440" w:lineRule="exact"/>
        <w:rPr>
          <w:rFonts w:hint="eastAsia" w:ascii="宋体" w:hAnsi="宋体" w:eastAsia="宋体" w:cs="宋体"/>
          <w:b/>
          <w:bCs/>
          <w:color w:val="auto"/>
          <w:sz w:val="28"/>
          <w:highlight w:val="none"/>
        </w:rPr>
      </w:pPr>
      <w:r>
        <w:rPr>
          <w:rFonts w:hint="eastAsia" w:ascii="宋体" w:hAnsi="宋体" w:eastAsia="宋体" w:cs="宋体"/>
          <w:b/>
          <w:bCs/>
          <w:color w:val="auto"/>
          <w:sz w:val="28"/>
          <w:highlight w:val="none"/>
        </w:rPr>
        <w:t>一、评标方法</w:t>
      </w:r>
    </w:p>
    <w:p w14:paraId="20F38A06">
      <w:pPr>
        <w:spacing w:line="480" w:lineRule="exact"/>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评标办法采用</w:t>
      </w:r>
      <w:r>
        <w:rPr>
          <w:rFonts w:hint="eastAsia" w:ascii="宋体" w:hAnsi="宋体" w:eastAsia="宋体" w:cs="宋体"/>
          <w:b/>
          <w:color w:val="auto"/>
          <w:sz w:val="24"/>
          <w:szCs w:val="24"/>
          <w:highlight w:val="none"/>
        </w:rPr>
        <w:t>综合评分法</w:t>
      </w:r>
      <w:r>
        <w:rPr>
          <w:rFonts w:hint="eastAsia" w:ascii="宋体" w:hAnsi="宋体" w:eastAsia="宋体" w:cs="宋体"/>
          <w:color w:val="auto"/>
          <w:sz w:val="24"/>
          <w:szCs w:val="24"/>
          <w:highlight w:val="none"/>
        </w:rPr>
        <w:t>。评标结果按评审后得分由高到低顺序排列。得分相同的，按投标报价由低到高顺序排列。得分且投标报价相同的并列，则由评标委员会组织抽签确定中标人。投标文件满足招标文件全部实质性要求，且按照评审因素的量化指标评审得分最高的投标人为排名第一的中标候选人。</w:t>
      </w:r>
    </w:p>
    <w:p w14:paraId="5D2553EB">
      <w:pPr>
        <w:spacing w:line="440" w:lineRule="exact"/>
        <w:rPr>
          <w:rFonts w:hint="eastAsia" w:ascii="宋体" w:hAnsi="宋体" w:eastAsia="宋体" w:cs="宋体"/>
          <w:b/>
          <w:bCs/>
          <w:color w:val="auto"/>
          <w:sz w:val="28"/>
          <w:highlight w:val="none"/>
        </w:rPr>
      </w:pPr>
      <w:r>
        <w:rPr>
          <w:rFonts w:hint="eastAsia" w:ascii="宋体" w:hAnsi="宋体" w:eastAsia="宋体" w:cs="宋体"/>
          <w:b/>
          <w:bCs/>
          <w:color w:val="auto"/>
          <w:sz w:val="28"/>
          <w:highlight w:val="none"/>
        </w:rPr>
        <w:t>二、评审因素、权值及评分标准</w:t>
      </w:r>
    </w:p>
    <w:p w14:paraId="33F6EB65">
      <w:pPr>
        <w:spacing w:line="44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注：每部分的得分保留小数点后两位，合计得分保留小数点后两位。</w:t>
      </w:r>
    </w:p>
    <w:p w14:paraId="304E81D9">
      <w:pPr>
        <w:spacing w:line="440" w:lineRule="exact"/>
        <w:ind w:firstLine="241" w:firstLineChars="100"/>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1、报价得分25分</w:t>
      </w:r>
    </w:p>
    <w:p w14:paraId="64ABB785">
      <w:pPr>
        <w:spacing w:line="440" w:lineRule="exact"/>
        <w:ind w:firstLine="480" w:firstLineChars="200"/>
        <w:rPr>
          <w:rFonts w:hint="eastAsia" w:ascii="宋体" w:hAnsi="宋体" w:eastAsia="宋体" w:cs="宋体"/>
          <w:color w:val="auto"/>
          <w:sz w:val="24"/>
          <w:highlight w:val="none"/>
        </w:rPr>
      </w:pPr>
      <w:bookmarkStart w:id="285" w:name="_Toc29724"/>
      <w:r>
        <w:rPr>
          <w:rFonts w:hint="eastAsia" w:ascii="宋体" w:hAnsi="宋体" w:eastAsia="宋体" w:cs="宋体"/>
          <w:color w:val="auto"/>
          <w:sz w:val="24"/>
          <w:highlight w:val="none"/>
        </w:rPr>
        <w:t>满足招标文件要求且</w:t>
      </w:r>
      <w:r>
        <w:rPr>
          <w:rFonts w:hint="eastAsia" w:ascii="宋体" w:hAnsi="宋体" w:eastAsia="宋体" w:cs="宋体"/>
          <w:color w:val="auto"/>
          <w:sz w:val="24"/>
          <w:highlight w:val="none"/>
          <w:lang w:val="en-US" w:eastAsia="zh-CN"/>
        </w:rPr>
        <w:t>优惠率最高</w:t>
      </w:r>
      <w:r>
        <w:rPr>
          <w:rFonts w:hint="eastAsia" w:ascii="宋体" w:hAnsi="宋体" w:eastAsia="宋体" w:cs="宋体"/>
          <w:color w:val="auto"/>
          <w:sz w:val="24"/>
          <w:highlight w:val="none"/>
        </w:rPr>
        <w:t>的投标报价为评标基准优惠率，其价格分为25分；其他投标人的价格分按下列公式计算：投标报价得分＝</w:t>
      </w:r>
      <w:r>
        <w:rPr>
          <w:rFonts w:hint="eastAsia" w:ascii="宋体" w:hAnsi="宋体" w:eastAsia="宋体" w:cs="宋体"/>
          <w:color w:val="000000" w:themeColor="text1"/>
          <w:sz w:val="24"/>
          <w:highlight w:val="none"/>
          <w14:textFill>
            <w14:solidFill>
              <w14:schemeClr w14:val="tx1"/>
            </w14:solidFill>
          </w14:textFill>
        </w:rPr>
        <w:t>（1-评标基准优惠率）／（1-投标优惠率）</w:t>
      </w:r>
      <w:r>
        <w:rPr>
          <w:rFonts w:hint="eastAsia" w:ascii="宋体" w:hAnsi="宋体" w:eastAsia="宋体" w:cs="宋体"/>
          <w:color w:val="auto"/>
          <w:sz w:val="24"/>
          <w:highlight w:val="none"/>
        </w:rPr>
        <w:t>×25分。</w:t>
      </w:r>
    </w:p>
    <w:p w14:paraId="7C94C264">
      <w:pPr>
        <w:keepNext w:val="0"/>
        <w:keepLines w:val="0"/>
        <w:pageBreakBefore w:val="0"/>
        <w:widowControl w:val="0"/>
        <w:tabs>
          <w:tab w:val="left" w:pos="0"/>
        </w:tabs>
        <w:kinsoku/>
        <w:wordWrap/>
        <w:overflowPunct/>
        <w:topLinePunct w:val="0"/>
        <w:autoSpaceDE/>
        <w:autoSpaceDN/>
        <w:bidi w:val="0"/>
        <w:adjustRightInd/>
        <w:snapToGrid/>
        <w:spacing w:line="380" w:lineRule="exact"/>
        <w:ind w:right="-27" w:rightChars="-13" w:firstLine="482" w:firstLineChars="200"/>
        <w:textAlignment w:val="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注：（一）评审中出现下列情形之一的，评审委员会应当启动异常低价投标（响应）审查程序： </w:t>
      </w:r>
    </w:p>
    <w:p w14:paraId="2635F28B">
      <w:pPr>
        <w:keepNext w:val="0"/>
        <w:keepLines w:val="0"/>
        <w:pageBreakBefore w:val="0"/>
        <w:widowControl w:val="0"/>
        <w:tabs>
          <w:tab w:val="left" w:pos="0"/>
        </w:tabs>
        <w:kinsoku/>
        <w:wordWrap/>
        <w:overflowPunct/>
        <w:topLinePunct w:val="0"/>
        <w:autoSpaceDE/>
        <w:autoSpaceDN/>
        <w:bidi w:val="0"/>
        <w:adjustRightInd/>
        <w:snapToGrid/>
        <w:spacing w:line="380" w:lineRule="exact"/>
        <w:ind w:right="-27" w:rightChars="-13" w:firstLine="482" w:firstLineChars="200"/>
        <w:textAlignment w:val="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1.投标（响应）报价低于全部通过符合性审查供应商投标（响应）报价平均值50%的，即投标（响应）报价&lt;全部通过符合性审查供应商投标（响应）报价平均值×50%； </w:t>
      </w:r>
    </w:p>
    <w:p w14:paraId="20BFBBED">
      <w:pPr>
        <w:keepNext w:val="0"/>
        <w:keepLines w:val="0"/>
        <w:pageBreakBefore w:val="0"/>
        <w:widowControl w:val="0"/>
        <w:tabs>
          <w:tab w:val="left" w:pos="0"/>
        </w:tabs>
        <w:kinsoku/>
        <w:wordWrap/>
        <w:overflowPunct/>
        <w:topLinePunct w:val="0"/>
        <w:autoSpaceDE/>
        <w:autoSpaceDN/>
        <w:bidi w:val="0"/>
        <w:adjustRightInd/>
        <w:snapToGrid/>
        <w:spacing w:line="380" w:lineRule="exact"/>
        <w:ind w:right="-27" w:rightChars="-13" w:firstLine="482" w:firstLineChars="200"/>
        <w:textAlignment w:val="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2.投标（响应）报价低于通过符合性审查的次低报价供应商投标（响应）报价50%的，即投标（响应）报价&lt;通过符合性审查的次低报价供应商投标（响应）报价×50%； </w:t>
      </w:r>
    </w:p>
    <w:p w14:paraId="705B9E79">
      <w:pPr>
        <w:keepNext w:val="0"/>
        <w:keepLines w:val="0"/>
        <w:pageBreakBefore w:val="0"/>
        <w:widowControl w:val="0"/>
        <w:tabs>
          <w:tab w:val="left" w:pos="0"/>
        </w:tabs>
        <w:kinsoku/>
        <w:wordWrap/>
        <w:overflowPunct/>
        <w:topLinePunct w:val="0"/>
        <w:autoSpaceDE/>
        <w:autoSpaceDN/>
        <w:bidi w:val="0"/>
        <w:adjustRightInd/>
        <w:snapToGrid/>
        <w:spacing w:line="380" w:lineRule="exact"/>
        <w:ind w:right="-27" w:rightChars="-13" w:firstLine="482" w:firstLineChars="200"/>
        <w:textAlignment w:val="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3.投标（响应）报价低于采购项目最高限价45%的，即投标（响应）报价&lt;采购项目最高限价×45%； </w:t>
      </w:r>
    </w:p>
    <w:p w14:paraId="772DB429">
      <w:pPr>
        <w:keepNext w:val="0"/>
        <w:keepLines w:val="0"/>
        <w:pageBreakBefore w:val="0"/>
        <w:widowControl w:val="0"/>
        <w:tabs>
          <w:tab w:val="left" w:pos="0"/>
        </w:tabs>
        <w:kinsoku/>
        <w:wordWrap/>
        <w:overflowPunct/>
        <w:topLinePunct w:val="0"/>
        <w:autoSpaceDE/>
        <w:autoSpaceDN/>
        <w:bidi w:val="0"/>
        <w:adjustRightInd/>
        <w:snapToGrid/>
        <w:spacing w:line="380" w:lineRule="exact"/>
        <w:ind w:right="-27" w:rightChars="-13" w:firstLine="482" w:firstLineChars="200"/>
        <w:textAlignment w:val="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4.评审委员会基于专业判断，认为供应商报价过低，有可能影响产品质量或者不能诚信履约的其他情形。</w:t>
      </w:r>
    </w:p>
    <w:p w14:paraId="11D09656">
      <w:pPr>
        <w:keepNext w:val="0"/>
        <w:keepLines w:val="0"/>
        <w:pageBreakBefore w:val="0"/>
        <w:widowControl w:val="0"/>
        <w:tabs>
          <w:tab w:val="left" w:pos="0"/>
        </w:tabs>
        <w:kinsoku/>
        <w:wordWrap/>
        <w:overflowPunct/>
        <w:topLinePunct w:val="0"/>
        <w:autoSpaceDE/>
        <w:autoSpaceDN/>
        <w:bidi w:val="0"/>
        <w:adjustRightInd/>
        <w:snapToGrid/>
        <w:spacing w:line="380" w:lineRule="exact"/>
        <w:ind w:right="-27" w:rightChars="-13" w:firstLine="482" w:firstLineChars="200"/>
        <w:textAlignment w:val="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 </w:t>
      </w:r>
    </w:p>
    <w:p w14:paraId="18820ACF">
      <w:pPr>
        <w:keepNext w:val="0"/>
        <w:keepLines w:val="0"/>
        <w:pageBreakBefore w:val="0"/>
        <w:widowControl w:val="0"/>
        <w:tabs>
          <w:tab w:val="left" w:pos="0"/>
        </w:tabs>
        <w:kinsoku/>
        <w:wordWrap/>
        <w:overflowPunct/>
        <w:topLinePunct w:val="0"/>
        <w:autoSpaceDE/>
        <w:autoSpaceDN/>
        <w:bidi w:val="0"/>
        <w:adjustRightInd/>
        <w:snapToGrid/>
        <w:spacing w:line="380" w:lineRule="exact"/>
        <w:ind w:right="-27" w:rightChars="-13" w:firstLine="482" w:firstLineChars="200"/>
        <w:textAlignment w:val="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 </w:t>
      </w:r>
    </w:p>
    <w:p w14:paraId="103D1389">
      <w:pPr>
        <w:keepNext w:val="0"/>
        <w:keepLines w:val="0"/>
        <w:pageBreakBefore w:val="0"/>
        <w:widowControl w:val="0"/>
        <w:tabs>
          <w:tab w:val="left" w:pos="0"/>
        </w:tabs>
        <w:kinsoku/>
        <w:wordWrap/>
        <w:overflowPunct/>
        <w:topLinePunct w:val="0"/>
        <w:autoSpaceDE/>
        <w:autoSpaceDN/>
        <w:bidi w:val="0"/>
        <w:adjustRightInd/>
        <w:snapToGrid/>
        <w:spacing w:line="380" w:lineRule="exact"/>
        <w:ind w:right="-27" w:rightChars="-13" w:firstLine="482" w:firstLineChars="200"/>
        <w:textAlignment w:val="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p>
    <w:p w14:paraId="7C1A6564">
      <w:pPr>
        <w:spacing w:line="440" w:lineRule="exact"/>
        <w:ind w:firstLine="241" w:firstLineChars="100"/>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2、服务质量保证</w:t>
      </w:r>
      <w:r>
        <w:rPr>
          <w:rFonts w:hint="eastAsia" w:ascii="宋体" w:hAnsi="宋体" w:eastAsia="宋体" w:cs="宋体"/>
          <w:b/>
          <w:color w:val="auto"/>
          <w:sz w:val="24"/>
          <w:szCs w:val="24"/>
          <w:highlight w:val="none"/>
          <w:lang w:val="en-US" w:eastAsia="zh-CN"/>
        </w:rPr>
        <w:t>48</w:t>
      </w:r>
      <w:r>
        <w:rPr>
          <w:rFonts w:hint="eastAsia" w:ascii="宋体" w:hAnsi="宋体" w:eastAsia="宋体" w:cs="宋体"/>
          <w:b/>
          <w:color w:val="auto"/>
          <w:sz w:val="24"/>
          <w:szCs w:val="24"/>
          <w:highlight w:val="none"/>
        </w:rPr>
        <w:t>分</w:t>
      </w:r>
    </w:p>
    <w:tbl>
      <w:tblPr>
        <w:tblStyle w:val="54"/>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 w:type="dxa"/>
          <w:bottom w:w="0" w:type="dxa"/>
          <w:right w:w="10" w:type="dxa"/>
        </w:tblCellMar>
      </w:tblPr>
      <w:tblGrid>
        <w:gridCol w:w="742"/>
        <w:gridCol w:w="1667"/>
        <w:gridCol w:w="777"/>
        <w:gridCol w:w="6649"/>
      </w:tblGrid>
      <w:tr w14:paraId="798853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312" w:hRule="atLeast"/>
          <w:jc w:val="center"/>
        </w:trPr>
        <w:tc>
          <w:tcPr>
            <w:tcW w:w="742" w:type="dxa"/>
            <w:shd w:val="clear" w:color="000000" w:fill="FFFFFF"/>
            <w:noWrap w:val="0"/>
            <w:tcMar>
              <w:left w:w="108" w:type="dxa"/>
              <w:right w:w="108" w:type="dxa"/>
            </w:tcMar>
            <w:vAlign w:val="center"/>
          </w:tcPr>
          <w:p w14:paraId="17ABBB64">
            <w:pPr>
              <w:keepNext w:val="0"/>
              <w:keepLines w:val="0"/>
              <w:pageBreakBefore w:val="0"/>
              <w:kinsoku/>
              <w:wordWrap/>
              <w:overflowPunct/>
              <w:topLinePunct w:val="0"/>
              <w:bidi w:val="0"/>
              <w:adjustRightInd/>
              <w:snapToGrid/>
              <w:spacing w:line="400" w:lineRule="exact"/>
              <w:jc w:val="center"/>
              <w:textAlignment w:val="auto"/>
              <w:rPr>
                <w:rFonts w:hint="eastAsia" w:ascii="宋体" w:hAnsi="宋体" w:eastAsia="宋体" w:cs="宋体"/>
                <w:highlight w:val="none"/>
              </w:rPr>
            </w:pPr>
            <w:r>
              <w:rPr>
                <w:rFonts w:hint="eastAsia" w:ascii="宋体" w:hAnsi="宋体" w:eastAsia="宋体" w:cs="宋体"/>
                <w:sz w:val="24"/>
                <w:highlight w:val="none"/>
              </w:rPr>
              <w:t>序号</w:t>
            </w:r>
          </w:p>
        </w:tc>
        <w:tc>
          <w:tcPr>
            <w:tcW w:w="1667" w:type="dxa"/>
            <w:shd w:val="clear" w:color="000000" w:fill="FFFFFF"/>
            <w:noWrap w:val="0"/>
            <w:tcMar>
              <w:left w:w="108" w:type="dxa"/>
              <w:right w:w="108" w:type="dxa"/>
            </w:tcMar>
            <w:vAlign w:val="center"/>
          </w:tcPr>
          <w:p w14:paraId="11FA7AC9">
            <w:pPr>
              <w:keepNext w:val="0"/>
              <w:keepLines w:val="0"/>
              <w:pageBreakBefore w:val="0"/>
              <w:kinsoku/>
              <w:wordWrap/>
              <w:overflowPunct/>
              <w:topLinePunct w:val="0"/>
              <w:bidi w:val="0"/>
              <w:adjustRightInd/>
              <w:snapToGrid/>
              <w:spacing w:line="400" w:lineRule="exact"/>
              <w:jc w:val="center"/>
              <w:textAlignment w:val="auto"/>
              <w:rPr>
                <w:rFonts w:hint="eastAsia" w:ascii="宋体" w:hAnsi="宋体" w:eastAsia="宋体" w:cs="宋体"/>
                <w:highlight w:val="none"/>
              </w:rPr>
            </w:pPr>
            <w:r>
              <w:rPr>
                <w:rFonts w:hint="eastAsia" w:ascii="宋体" w:hAnsi="宋体" w:eastAsia="宋体" w:cs="宋体"/>
                <w:sz w:val="24"/>
                <w:highlight w:val="none"/>
              </w:rPr>
              <w:t>评审因素</w:t>
            </w:r>
          </w:p>
        </w:tc>
        <w:tc>
          <w:tcPr>
            <w:tcW w:w="777" w:type="dxa"/>
            <w:shd w:val="clear" w:color="000000" w:fill="FFFFFF"/>
            <w:noWrap w:val="0"/>
            <w:tcMar>
              <w:left w:w="108" w:type="dxa"/>
              <w:right w:w="108" w:type="dxa"/>
            </w:tcMar>
            <w:vAlign w:val="center"/>
          </w:tcPr>
          <w:p w14:paraId="56B3813F">
            <w:pPr>
              <w:keepNext w:val="0"/>
              <w:keepLines w:val="0"/>
              <w:pageBreakBefore w:val="0"/>
              <w:kinsoku/>
              <w:wordWrap/>
              <w:overflowPunct/>
              <w:topLinePunct w:val="0"/>
              <w:bidi w:val="0"/>
              <w:adjustRightInd/>
              <w:snapToGrid/>
              <w:spacing w:line="400" w:lineRule="exact"/>
              <w:jc w:val="center"/>
              <w:textAlignment w:val="auto"/>
              <w:rPr>
                <w:rFonts w:hint="eastAsia" w:ascii="宋体" w:hAnsi="宋体" w:eastAsia="宋体" w:cs="宋体"/>
                <w:highlight w:val="none"/>
              </w:rPr>
            </w:pPr>
            <w:r>
              <w:rPr>
                <w:rFonts w:hint="eastAsia" w:ascii="宋体" w:hAnsi="宋体" w:eastAsia="宋体" w:cs="宋体"/>
                <w:sz w:val="24"/>
                <w:highlight w:val="none"/>
              </w:rPr>
              <w:t>权值</w:t>
            </w:r>
          </w:p>
        </w:tc>
        <w:tc>
          <w:tcPr>
            <w:tcW w:w="6649" w:type="dxa"/>
            <w:shd w:val="clear" w:color="000000" w:fill="FFFFFF"/>
            <w:noWrap w:val="0"/>
            <w:tcMar>
              <w:left w:w="108" w:type="dxa"/>
              <w:right w:w="108" w:type="dxa"/>
            </w:tcMar>
            <w:vAlign w:val="center"/>
          </w:tcPr>
          <w:p w14:paraId="120E555C">
            <w:pPr>
              <w:keepNext w:val="0"/>
              <w:keepLines w:val="0"/>
              <w:pageBreakBefore w:val="0"/>
              <w:kinsoku/>
              <w:wordWrap/>
              <w:overflowPunct/>
              <w:topLinePunct w:val="0"/>
              <w:bidi w:val="0"/>
              <w:adjustRightInd/>
              <w:snapToGrid/>
              <w:spacing w:line="400" w:lineRule="exact"/>
              <w:jc w:val="center"/>
              <w:textAlignment w:val="auto"/>
              <w:rPr>
                <w:rFonts w:hint="eastAsia" w:ascii="宋体" w:hAnsi="宋体" w:eastAsia="宋体" w:cs="宋体"/>
                <w:highlight w:val="none"/>
              </w:rPr>
            </w:pPr>
            <w:r>
              <w:rPr>
                <w:rFonts w:hint="eastAsia" w:ascii="宋体" w:hAnsi="宋体" w:eastAsia="宋体" w:cs="宋体"/>
                <w:sz w:val="24"/>
                <w:highlight w:val="none"/>
              </w:rPr>
              <w:t>评分标准</w:t>
            </w:r>
          </w:p>
        </w:tc>
      </w:tr>
      <w:tr w14:paraId="2FE24DFC">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10" w:type="dxa"/>
            <w:bottom w:w="0" w:type="dxa"/>
            <w:right w:w="10" w:type="dxa"/>
          </w:tblCellMar>
        </w:tblPrEx>
        <w:trPr>
          <w:trHeight w:val="636" w:hRule="atLeast"/>
          <w:jc w:val="center"/>
        </w:trPr>
        <w:tc>
          <w:tcPr>
            <w:tcW w:w="742" w:type="dxa"/>
            <w:tcBorders>
              <w:top w:val="single" w:color="000000" w:sz="4" w:space="0"/>
              <w:left w:val="single" w:color="000000" w:sz="4" w:space="0"/>
              <w:bottom w:val="single" w:color="000000" w:sz="4" w:space="0"/>
              <w:right w:val="single" w:color="000000" w:sz="4" w:space="0"/>
            </w:tcBorders>
            <w:shd w:val="clear" w:color="000000" w:fill="FFFFFF"/>
            <w:noWrap w:val="0"/>
            <w:tcMar>
              <w:left w:w="108" w:type="dxa"/>
              <w:right w:w="108" w:type="dxa"/>
            </w:tcMar>
            <w:vAlign w:val="center"/>
          </w:tcPr>
          <w:p w14:paraId="7BAC0441">
            <w:pPr>
              <w:keepNext w:val="0"/>
              <w:keepLines w:val="0"/>
              <w:pageBreakBefore w:val="0"/>
              <w:kinsoku/>
              <w:wordWrap/>
              <w:overflowPunct/>
              <w:topLinePunct w:val="0"/>
              <w:bidi w:val="0"/>
              <w:adjustRightInd/>
              <w:snapToGrid/>
              <w:spacing w:line="400" w:lineRule="exact"/>
              <w:jc w:val="center"/>
              <w:textAlignment w:val="auto"/>
              <w:rPr>
                <w:rFonts w:hint="eastAsia" w:ascii="宋体" w:hAnsi="宋体" w:eastAsia="宋体" w:cs="宋体"/>
                <w:sz w:val="24"/>
                <w:highlight w:val="none"/>
              </w:rPr>
            </w:pPr>
            <w:r>
              <w:rPr>
                <w:rFonts w:hint="eastAsia" w:ascii="宋体" w:hAnsi="宋体" w:eastAsia="宋体" w:cs="宋体"/>
                <w:sz w:val="24"/>
                <w:highlight w:val="none"/>
              </w:rPr>
              <w:t>1</w:t>
            </w:r>
          </w:p>
        </w:tc>
        <w:tc>
          <w:tcPr>
            <w:tcW w:w="1667" w:type="dxa"/>
            <w:tcBorders>
              <w:top w:val="single" w:color="000000" w:sz="4" w:space="0"/>
              <w:left w:val="single" w:color="000000" w:sz="4" w:space="0"/>
              <w:bottom w:val="single" w:color="000000" w:sz="4" w:space="0"/>
              <w:right w:val="single" w:color="000000" w:sz="4" w:space="0"/>
            </w:tcBorders>
            <w:shd w:val="clear" w:color="000000" w:fill="FFFFFF"/>
            <w:noWrap w:val="0"/>
            <w:tcMar>
              <w:left w:w="108" w:type="dxa"/>
              <w:right w:w="108" w:type="dxa"/>
            </w:tcMar>
            <w:vAlign w:val="center"/>
          </w:tcPr>
          <w:p w14:paraId="5DBE9FBD">
            <w:pPr>
              <w:keepNext w:val="0"/>
              <w:keepLines w:val="0"/>
              <w:pageBreakBefore w:val="0"/>
              <w:kinsoku/>
              <w:wordWrap/>
              <w:overflowPunct/>
              <w:topLinePunct w:val="0"/>
              <w:bidi w:val="0"/>
              <w:adjustRightInd/>
              <w:snapToGrid/>
              <w:spacing w:line="400" w:lineRule="exact"/>
              <w:jc w:val="center"/>
              <w:textAlignment w:val="auto"/>
              <w:rPr>
                <w:rFonts w:hint="eastAsia" w:ascii="宋体" w:hAnsi="宋体" w:eastAsia="宋体" w:cs="宋体"/>
                <w:sz w:val="24"/>
                <w:szCs w:val="22"/>
                <w:highlight w:val="none"/>
              </w:rPr>
            </w:pPr>
            <w:r>
              <w:rPr>
                <w:rFonts w:hint="eastAsia" w:ascii="宋体" w:hAnsi="宋体" w:eastAsia="宋体" w:cs="宋体"/>
                <w:sz w:val="24"/>
                <w:szCs w:val="24"/>
                <w:highlight w:val="none"/>
              </w:rPr>
              <w:t>服务响应情况</w:t>
            </w:r>
          </w:p>
        </w:tc>
        <w:tc>
          <w:tcPr>
            <w:tcW w:w="777" w:type="dxa"/>
            <w:tcBorders>
              <w:top w:val="single" w:color="000000" w:sz="4" w:space="0"/>
              <w:left w:val="single" w:color="000000" w:sz="4" w:space="0"/>
              <w:bottom w:val="single" w:color="000000" w:sz="4" w:space="0"/>
              <w:right w:val="single" w:color="000000" w:sz="4" w:space="0"/>
            </w:tcBorders>
            <w:shd w:val="clear" w:color="000000" w:fill="FFFFFF"/>
            <w:noWrap w:val="0"/>
            <w:tcMar>
              <w:left w:w="108" w:type="dxa"/>
              <w:right w:w="108" w:type="dxa"/>
            </w:tcMar>
            <w:vAlign w:val="center"/>
          </w:tcPr>
          <w:p w14:paraId="36887B61">
            <w:pPr>
              <w:keepNext w:val="0"/>
              <w:keepLines w:val="0"/>
              <w:pageBreakBefore w:val="0"/>
              <w:kinsoku/>
              <w:wordWrap/>
              <w:overflowPunct/>
              <w:topLinePunct w:val="0"/>
              <w:bidi w:val="0"/>
              <w:adjustRightInd/>
              <w:snapToGrid/>
              <w:spacing w:line="400" w:lineRule="exact"/>
              <w:jc w:val="center"/>
              <w:textAlignment w:val="auto"/>
              <w:rPr>
                <w:rFonts w:hint="eastAsia" w:ascii="宋体" w:hAnsi="宋体" w:eastAsia="宋体" w:cs="宋体"/>
                <w:sz w:val="24"/>
                <w:szCs w:val="22"/>
                <w:highlight w:val="none"/>
              </w:rPr>
            </w:pPr>
            <w:r>
              <w:rPr>
                <w:rFonts w:hint="eastAsia" w:ascii="宋体" w:hAnsi="宋体" w:eastAsia="宋体" w:cs="宋体"/>
                <w:sz w:val="24"/>
                <w:szCs w:val="24"/>
                <w:highlight w:val="none"/>
                <w:lang w:val="en-US" w:eastAsia="zh-CN"/>
              </w:rPr>
              <w:t>18</w:t>
            </w:r>
            <w:r>
              <w:rPr>
                <w:rFonts w:hint="eastAsia" w:ascii="宋体" w:hAnsi="宋体" w:eastAsia="宋体" w:cs="宋体"/>
                <w:sz w:val="24"/>
                <w:szCs w:val="24"/>
                <w:highlight w:val="none"/>
              </w:rPr>
              <w:t>分</w:t>
            </w:r>
          </w:p>
        </w:tc>
        <w:tc>
          <w:tcPr>
            <w:tcW w:w="6649" w:type="dxa"/>
            <w:tcBorders>
              <w:top w:val="single" w:color="000000" w:sz="4" w:space="0"/>
              <w:left w:val="single" w:color="000000" w:sz="4" w:space="0"/>
              <w:bottom w:val="single" w:color="000000" w:sz="4" w:space="0"/>
              <w:right w:val="single" w:color="000000" w:sz="4" w:space="0"/>
            </w:tcBorders>
            <w:shd w:val="clear" w:color="000000" w:fill="FFFFFF"/>
            <w:noWrap w:val="0"/>
            <w:tcMar>
              <w:left w:w="108" w:type="dxa"/>
              <w:right w:w="108" w:type="dxa"/>
            </w:tcMar>
            <w:vAlign w:val="center"/>
          </w:tcPr>
          <w:p w14:paraId="73EC2863">
            <w:pPr>
              <w:numPr>
                <w:ilvl w:val="0"/>
                <w:numId w:val="0"/>
              </w:numPr>
              <w:ind w:left="0" w:leftChars="0" w:firstLine="0" w:firstLineChars="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投标人承诺提供的服务全部满足招标文件要求（</w:t>
            </w:r>
            <w:r>
              <w:rPr>
                <w:rFonts w:hint="eastAsia" w:ascii="宋体" w:hAnsi="宋体" w:eastAsia="宋体" w:cs="宋体"/>
                <w:color w:val="auto"/>
                <w:sz w:val="24"/>
                <w:szCs w:val="24"/>
                <w:highlight w:val="none"/>
                <w:lang w:val="en-US" w:eastAsia="zh-CN"/>
              </w:rPr>
              <w:t>共30</w:t>
            </w:r>
            <w:r>
              <w:rPr>
                <w:rFonts w:hint="eastAsia" w:ascii="宋体" w:hAnsi="宋体" w:eastAsia="宋体" w:cs="宋体"/>
                <w:color w:val="auto"/>
                <w:sz w:val="24"/>
                <w:szCs w:val="24"/>
                <w:highlight w:val="none"/>
              </w:rPr>
              <w:t>条）的得基本分</w:t>
            </w:r>
            <w:r>
              <w:rPr>
                <w:rFonts w:hint="eastAsia" w:ascii="宋体" w:hAnsi="宋体" w:eastAsia="宋体" w:cs="宋体"/>
                <w:color w:val="auto"/>
                <w:sz w:val="24"/>
                <w:szCs w:val="24"/>
                <w:highlight w:val="none"/>
                <w:lang w:val="en-US" w:eastAsia="zh-CN"/>
              </w:rPr>
              <w:t>18</w:t>
            </w:r>
            <w:r>
              <w:rPr>
                <w:rFonts w:hint="eastAsia" w:ascii="宋体" w:hAnsi="宋体" w:eastAsia="宋体" w:cs="宋体"/>
                <w:color w:val="auto"/>
                <w:sz w:val="24"/>
                <w:szCs w:val="24"/>
                <w:highlight w:val="none"/>
              </w:rPr>
              <w:t>分；有负偏离条款的，每条扣</w:t>
            </w:r>
            <w:r>
              <w:rPr>
                <w:rFonts w:hint="eastAsia" w:ascii="宋体" w:hAnsi="宋体" w:eastAsia="宋体" w:cs="宋体"/>
                <w:color w:val="auto"/>
                <w:sz w:val="24"/>
                <w:szCs w:val="24"/>
                <w:highlight w:val="none"/>
                <w:lang w:val="en-US" w:eastAsia="zh-CN"/>
              </w:rPr>
              <w:t>0.6</w:t>
            </w:r>
            <w:r>
              <w:rPr>
                <w:rFonts w:hint="eastAsia" w:ascii="宋体" w:hAnsi="宋体" w:eastAsia="宋体" w:cs="宋体"/>
                <w:color w:val="auto"/>
                <w:sz w:val="24"/>
                <w:szCs w:val="24"/>
                <w:highlight w:val="none"/>
              </w:rPr>
              <w:t>分。</w:t>
            </w:r>
            <w:r>
              <w:rPr>
                <w:rFonts w:hint="eastAsia" w:ascii="宋体" w:hAnsi="宋体" w:eastAsia="宋体" w:cs="宋体"/>
                <w:b/>
                <w:bCs/>
                <w:color w:val="auto"/>
                <w:sz w:val="24"/>
                <w:szCs w:val="24"/>
                <w:highlight w:val="none"/>
              </w:rPr>
              <w:t>本项目“项目需求”中标“★”的相关要求，为本招标文件实质性要求，必须满足，否则将作无效投标处理。</w:t>
            </w:r>
          </w:p>
        </w:tc>
      </w:tr>
      <w:tr w14:paraId="715CD984">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10" w:type="dxa"/>
            <w:bottom w:w="0" w:type="dxa"/>
            <w:right w:w="10" w:type="dxa"/>
          </w:tblCellMar>
        </w:tblPrEx>
        <w:trPr>
          <w:trHeight w:val="1064" w:hRule="atLeast"/>
          <w:jc w:val="center"/>
        </w:trPr>
        <w:tc>
          <w:tcPr>
            <w:tcW w:w="742" w:type="dxa"/>
            <w:tcBorders>
              <w:top w:val="single" w:color="000000" w:sz="4" w:space="0"/>
              <w:left w:val="single" w:color="000000" w:sz="4" w:space="0"/>
              <w:bottom w:val="single" w:color="000000" w:sz="4" w:space="0"/>
              <w:right w:val="single" w:color="000000" w:sz="4" w:space="0"/>
            </w:tcBorders>
            <w:shd w:val="clear" w:color="000000" w:fill="FFFFFF"/>
            <w:noWrap w:val="0"/>
            <w:tcMar>
              <w:left w:w="108" w:type="dxa"/>
              <w:right w:w="108" w:type="dxa"/>
            </w:tcMar>
            <w:vAlign w:val="center"/>
          </w:tcPr>
          <w:p w14:paraId="7C08F707">
            <w:pPr>
              <w:keepNext w:val="0"/>
              <w:keepLines w:val="0"/>
              <w:pageBreakBefore w:val="0"/>
              <w:kinsoku/>
              <w:wordWrap/>
              <w:overflowPunct/>
              <w:topLinePunct w:val="0"/>
              <w:bidi w:val="0"/>
              <w:adjustRightInd/>
              <w:snapToGrid/>
              <w:spacing w:line="400" w:lineRule="exact"/>
              <w:jc w:val="center"/>
              <w:textAlignment w:val="auto"/>
              <w:rPr>
                <w:rFonts w:hint="eastAsia" w:ascii="宋体" w:hAnsi="宋体" w:eastAsia="宋体" w:cs="宋体"/>
                <w:sz w:val="24"/>
                <w:highlight w:val="none"/>
              </w:rPr>
            </w:pPr>
            <w:r>
              <w:rPr>
                <w:rFonts w:hint="eastAsia" w:ascii="宋体" w:hAnsi="宋体" w:eastAsia="宋体" w:cs="宋体"/>
                <w:sz w:val="24"/>
                <w:highlight w:val="none"/>
              </w:rPr>
              <w:t>2</w:t>
            </w:r>
          </w:p>
        </w:tc>
        <w:tc>
          <w:tcPr>
            <w:tcW w:w="1667" w:type="dxa"/>
            <w:tcBorders>
              <w:top w:val="single" w:color="000000" w:sz="4" w:space="0"/>
              <w:left w:val="single" w:color="000000" w:sz="4" w:space="0"/>
              <w:bottom w:val="single" w:color="000000" w:sz="4" w:space="0"/>
              <w:right w:val="single" w:color="000000" w:sz="4" w:space="0"/>
            </w:tcBorders>
            <w:shd w:val="clear" w:color="000000" w:fill="FFFFFF"/>
            <w:noWrap w:val="0"/>
            <w:tcMar>
              <w:left w:w="108" w:type="dxa"/>
              <w:right w:w="108" w:type="dxa"/>
            </w:tcMar>
            <w:vAlign w:val="center"/>
          </w:tcPr>
          <w:p w14:paraId="573E7B30">
            <w:pPr>
              <w:jc w:val="center"/>
              <w:rPr>
                <w:rFonts w:hint="eastAsia" w:ascii="宋体" w:hAnsi="宋体" w:eastAsia="宋体" w:cs="宋体"/>
                <w:sz w:val="24"/>
                <w:szCs w:val="24"/>
                <w:highlight w:val="none"/>
                <w:lang w:val="en-US" w:eastAsia="zh-CN"/>
              </w:rPr>
            </w:pPr>
            <w:r>
              <w:rPr>
                <w:rFonts w:hint="eastAsia" w:ascii="宋体" w:hAnsi="宋体" w:eastAsia="宋体" w:cs="宋体"/>
                <w:color w:val="auto"/>
                <w:sz w:val="24"/>
                <w:szCs w:val="24"/>
                <w:highlight w:val="none"/>
                <w:lang w:val="en-US" w:eastAsia="zh-CN"/>
              </w:rPr>
              <w:t>项目服务方案</w:t>
            </w:r>
          </w:p>
        </w:tc>
        <w:tc>
          <w:tcPr>
            <w:tcW w:w="777" w:type="dxa"/>
            <w:tcBorders>
              <w:top w:val="single" w:color="000000" w:sz="4" w:space="0"/>
              <w:left w:val="single" w:color="000000" w:sz="4" w:space="0"/>
              <w:bottom w:val="single" w:color="000000" w:sz="4" w:space="0"/>
              <w:right w:val="single" w:color="000000" w:sz="4" w:space="0"/>
            </w:tcBorders>
            <w:shd w:val="clear" w:color="000000" w:fill="FFFFFF"/>
            <w:noWrap w:val="0"/>
            <w:tcMar>
              <w:left w:w="108" w:type="dxa"/>
              <w:right w:w="108" w:type="dxa"/>
            </w:tcMar>
            <w:vAlign w:val="center"/>
          </w:tcPr>
          <w:p w14:paraId="6CFCD50F">
            <w:pPr>
              <w:jc w:val="center"/>
              <w:rPr>
                <w:rFonts w:hint="eastAsia" w:ascii="宋体" w:hAnsi="宋体" w:eastAsia="宋体" w:cs="宋体"/>
                <w:sz w:val="24"/>
                <w:szCs w:val="24"/>
                <w:highlight w:val="none"/>
              </w:rPr>
            </w:pPr>
            <w:r>
              <w:rPr>
                <w:rFonts w:hint="eastAsia" w:ascii="宋体" w:hAnsi="宋体" w:eastAsia="宋体" w:cs="宋体"/>
                <w:color w:val="auto"/>
                <w:sz w:val="24"/>
                <w:szCs w:val="24"/>
                <w:highlight w:val="none"/>
                <w:lang w:val="en-US" w:eastAsia="zh-CN"/>
              </w:rPr>
              <w:t>9</w:t>
            </w:r>
            <w:r>
              <w:rPr>
                <w:rFonts w:hint="eastAsia" w:ascii="宋体" w:hAnsi="宋体" w:eastAsia="宋体" w:cs="宋体"/>
                <w:color w:val="auto"/>
                <w:sz w:val="24"/>
                <w:szCs w:val="24"/>
                <w:highlight w:val="none"/>
              </w:rPr>
              <w:t>分</w:t>
            </w:r>
          </w:p>
        </w:tc>
        <w:tc>
          <w:tcPr>
            <w:tcW w:w="6649" w:type="dxa"/>
            <w:tcBorders>
              <w:top w:val="single" w:color="000000" w:sz="4" w:space="0"/>
              <w:left w:val="single" w:color="000000" w:sz="4" w:space="0"/>
              <w:bottom w:val="single" w:color="000000" w:sz="4" w:space="0"/>
              <w:right w:val="single" w:color="000000" w:sz="4" w:space="0"/>
            </w:tcBorders>
            <w:shd w:val="clear" w:color="000000" w:fill="FFFFFF"/>
            <w:noWrap w:val="0"/>
            <w:tcMar>
              <w:left w:w="108" w:type="dxa"/>
              <w:right w:w="108" w:type="dxa"/>
            </w:tcMar>
            <w:vAlign w:val="center"/>
          </w:tcPr>
          <w:p w14:paraId="4521A56B">
            <w:pPr>
              <w:numPr>
                <w:ilvl w:val="0"/>
                <w:numId w:val="0"/>
              </w:numPr>
              <w:ind w:left="0" w:leftChars="0" w:firstLine="0" w:firstLineChars="0"/>
              <w:rPr>
                <w:rFonts w:hint="eastAsia" w:ascii="宋体" w:hAnsi="宋体" w:eastAsia="宋体" w:cs="宋体"/>
                <w:sz w:val="24"/>
                <w:szCs w:val="24"/>
                <w:highlight w:val="none"/>
              </w:rPr>
            </w:pPr>
            <w:r>
              <w:rPr>
                <w:rFonts w:hint="eastAsia" w:ascii="宋体" w:hAnsi="宋体" w:eastAsia="宋体" w:cs="宋体"/>
                <w:color w:val="auto"/>
                <w:sz w:val="24"/>
                <w:szCs w:val="24"/>
                <w:highlight w:val="none"/>
              </w:rPr>
              <w:t>根据投标人提供的</w:t>
            </w:r>
            <w:r>
              <w:rPr>
                <w:rFonts w:hint="eastAsia" w:ascii="宋体" w:hAnsi="宋体" w:eastAsia="宋体" w:cs="宋体"/>
                <w:b/>
                <w:bCs/>
                <w:color w:val="auto"/>
                <w:sz w:val="24"/>
                <w:szCs w:val="24"/>
                <w:highlight w:val="none"/>
                <w:lang w:val="en-US" w:eastAsia="zh-CN"/>
              </w:rPr>
              <w:t>项目服务方案</w:t>
            </w:r>
            <w:r>
              <w:rPr>
                <w:rFonts w:hint="eastAsia" w:ascii="宋体" w:hAnsi="宋体" w:eastAsia="宋体" w:cs="宋体"/>
                <w:color w:val="auto"/>
                <w:sz w:val="24"/>
                <w:szCs w:val="24"/>
                <w:highlight w:val="none"/>
              </w:rPr>
              <w:t>（涉及评审要点（共</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项）：①</w:t>
            </w:r>
            <w:r>
              <w:rPr>
                <w:rFonts w:hint="eastAsia" w:ascii="宋体" w:hAnsi="宋体" w:eastAsia="宋体" w:cs="宋体"/>
                <w:bCs/>
                <w:kern w:val="0"/>
                <w:sz w:val="24"/>
                <w:szCs w:val="20"/>
                <w:highlight w:val="none"/>
              </w:rPr>
              <w:t>总体实施方案</w:t>
            </w:r>
            <w:r>
              <w:rPr>
                <w:rFonts w:hint="eastAsia" w:ascii="宋体" w:hAnsi="宋体" w:eastAsia="宋体" w:cs="宋体"/>
                <w:color w:val="auto"/>
                <w:sz w:val="24"/>
                <w:szCs w:val="24"/>
                <w:highlight w:val="none"/>
              </w:rPr>
              <w:t>、②</w:t>
            </w:r>
            <w:r>
              <w:rPr>
                <w:rFonts w:hint="eastAsia" w:ascii="宋体" w:hAnsi="宋体" w:eastAsia="宋体" w:cs="宋体"/>
                <w:bCs/>
                <w:kern w:val="0"/>
                <w:sz w:val="24"/>
                <w:szCs w:val="20"/>
                <w:highlight w:val="none"/>
              </w:rPr>
              <w:t>食品质量控制方案</w:t>
            </w:r>
            <w:r>
              <w:rPr>
                <w:rFonts w:hint="eastAsia" w:ascii="宋体" w:hAnsi="宋体" w:eastAsia="宋体" w:cs="宋体"/>
                <w:bCs/>
                <w:kern w:val="0"/>
                <w:sz w:val="24"/>
                <w:szCs w:val="20"/>
                <w:highlight w:val="none"/>
                <w:lang w:eastAsia="zh-CN"/>
              </w:rPr>
              <w:t>、</w:t>
            </w:r>
            <w:r>
              <w:rPr>
                <w:rFonts w:hint="eastAsia" w:ascii="宋体" w:hAnsi="宋体" w:eastAsia="宋体" w:cs="宋体"/>
                <w:sz w:val="24"/>
                <w:szCs w:val="24"/>
                <w:highlight w:val="none"/>
                <w:lang w:val="en-US" w:eastAsia="zh-CN"/>
              </w:rPr>
              <w:t>③</w:t>
            </w:r>
            <w:r>
              <w:rPr>
                <w:rFonts w:hint="eastAsia" w:ascii="宋体" w:hAnsi="宋体" w:eastAsia="宋体" w:cs="宋体"/>
                <w:bCs/>
                <w:kern w:val="0"/>
                <w:sz w:val="24"/>
                <w:szCs w:val="20"/>
                <w:highlight w:val="none"/>
              </w:rPr>
              <w:t>食品卫生控制方案</w:t>
            </w:r>
            <w:r>
              <w:rPr>
                <w:rFonts w:hint="eastAsia" w:ascii="宋体" w:hAnsi="宋体" w:eastAsia="宋体" w:cs="宋体"/>
                <w:bCs/>
                <w:kern w:val="0"/>
                <w:sz w:val="24"/>
                <w:szCs w:val="20"/>
                <w:highlight w:val="none"/>
                <w:lang w:eastAsia="zh-CN"/>
              </w:rPr>
              <w:t>）</w:t>
            </w:r>
            <w:r>
              <w:rPr>
                <w:rFonts w:hint="eastAsia" w:ascii="宋体" w:hAnsi="宋体" w:eastAsia="宋体" w:cs="宋体"/>
                <w:color w:val="auto"/>
                <w:sz w:val="24"/>
                <w:szCs w:val="24"/>
                <w:highlight w:val="none"/>
              </w:rPr>
              <w:t>进行综合评定，</w:t>
            </w:r>
            <w:r>
              <w:rPr>
                <w:rFonts w:hint="eastAsia" w:ascii="宋体" w:hAnsi="宋体" w:eastAsia="宋体" w:cs="宋体"/>
                <w:b/>
                <w:bCs/>
                <w:color w:val="auto"/>
                <w:sz w:val="24"/>
                <w:szCs w:val="24"/>
                <w:highlight w:val="none"/>
              </w:rPr>
              <w:t>本项最高得</w:t>
            </w:r>
            <w:r>
              <w:rPr>
                <w:rFonts w:hint="eastAsia" w:ascii="宋体" w:hAnsi="宋体" w:eastAsia="宋体" w:cs="宋体"/>
                <w:b/>
                <w:bCs/>
                <w:color w:val="auto"/>
                <w:sz w:val="24"/>
                <w:szCs w:val="24"/>
                <w:highlight w:val="none"/>
                <w:lang w:val="en-US" w:eastAsia="zh-CN"/>
              </w:rPr>
              <w:t>9</w:t>
            </w:r>
            <w:r>
              <w:rPr>
                <w:rFonts w:hint="eastAsia" w:ascii="宋体" w:hAnsi="宋体" w:eastAsia="宋体" w:cs="宋体"/>
                <w:b/>
                <w:bCs/>
                <w:color w:val="auto"/>
                <w:sz w:val="24"/>
                <w:szCs w:val="24"/>
                <w:highlight w:val="none"/>
              </w:rPr>
              <w:t>分</w:t>
            </w:r>
            <w:r>
              <w:rPr>
                <w:rFonts w:hint="eastAsia" w:ascii="宋体" w:hAnsi="宋体" w:eastAsia="宋体" w:cs="宋体"/>
                <w:color w:val="auto"/>
                <w:sz w:val="24"/>
                <w:szCs w:val="24"/>
                <w:highlight w:val="none"/>
              </w:rPr>
              <w:t>。体现上述评审要点且内容完全贴合项目需求的，每有一项得3分；体现上述评审要点但内容无法完全贴合项目需求的，每有一项得1.5分；未能体现评审要点（或无实质性内容的），对应项得0分。</w:t>
            </w:r>
          </w:p>
        </w:tc>
      </w:tr>
      <w:tr w14:paraId="59D785DF">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10" w:type="dxa"/>
            <w:bottom w:w="0" w:type="dxa"/>
            <w:right w:w="10" w:type="dxa"/>
          </w:tblCellMar>
        </w:tblPrEx>
        <w:trPr>
          <w:trHeight w:val="1064" w:hRule="atLeast"/>
          <w:jc w:val="center"/>
        </w:trPr>
        <w:tc>
          <w:tcPr>
            <w:tcW w:w="742" w:type="dxa"/>
            <w:tcBorders>
              <w:top w:val="single" w:color="000000" w:sz="4" w:space="0"/>
              <w:left w:val="single" w:color="000000" w:sz="4" w:space="0"/>
              <w:bottom w:val="single" w:color="000000" w:sz="4" w:space="0"/>
              <w:right w:val="single" w:color="000000" w:sz="4" w:space="0"/>
            </w:tcBorders>
            <w:shd w:val="clear" w:color="000000" w:fill="FFFFFF"/>
            <w:noWrap w:val="0"/>
            <w:tcMar>
              <w:left w:w="108" w:type="dxa"/>
              <w:right w:w="108" w:type="dxa"/>
            </w:tcMar>
            <w:vAlign w:val="center"/>
          </w:tcPr>
          <w:p w14:paraId="4F3E042E">
            <w:pPr>
              <w:keepNext w:val="0"/>
              <w:keepLines w:val="0"/>
              <w:pageBreakBefore w:val="0"/>
              <w:kinsoku/>
              <w:wordWrap/>
              <w:overflowPunct/>
              <w:topLinePunct w:val="0"/>
              <w:bidi w:val="0"/>
              <w:adjustRightInd/>
              <w:snapToGrid/>
              <w:spacing w:line="400" w:lineRule="exact"/>
              <w:jc w:val="center"/>
              <w:textAlignment w:val="auto"/>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3</w:t>
            </w:r>
          </w:p>
        </w:tc>
        <w:tc>
          <w:tcPr>
            <w:tcW w:w="1667" w:type="dxa"/>
            <w:tcBorders>
              <w:top w:val="single" w:color="000000" w:sz="4" w:space="0"/>
              <w:left w:val="single" w:color="000000" w:sz="4" w:space="0"/>
              <w:bottom w:val="single" w:color="000000" w:sz="4" w:space="0"/>
              <w:right w:val="single" w:color="000000" w:sz="4" w:space="0"/>
            </w:tcBorders>
            <w:shd w:val="clear" w:color="000000" w:fill="FFFFFF"/>
            <w:noWrap w:val="0"/>
            <w:tcMar>
              <w:left w:w="108" w:type="dxa"/>
              <w:right w:w="108" w:type="dxa"/>
            </w:tcMar>
            <w:vAlign w:val="center"/>
          </w:tcPr>
          <w:p w14:paraId="22661427">
            <w:pPr>
              <w:jc w:val="center"/>
              <w:rPr>
                <w:rFonts w:hint="eastAsia" w:ascii="宋体" w:hAnsi="宋体" w:eastAsia="宋体" w:cs="宋体"/>
                <w:color w:val="auto"/>
                <w:sz w:val="24"/>
                <w:szCs w:val="24"/>
                <w:highlight w:val="none"/>
                <w:lang w:val="en-US" w:eastAsia="zh-CN"/>
              </w:rPr>
            </w:pPr>
            <w:r>
              <w:rPr>
                <w:rFonts w:hint="eastAsia" w:ascii="宋体" w:hAnsi="宋体" w:eastAsia="宋体" w:cs="宋体"/>
                <w:kern w:val="0"/>
                <w:sz w:val="24"/>
                <w:highlight w:val="none"/>
                <w:lang w:val="zh-CN"/>
              </w:rPr>
              <w:t>各岗位操作规范</w:t>
            </w:r>
          </w:p>
        </w:tc>
        <w:tc>
          <w:tcPr>
            <w:tcW w:w="777" w:type="dxa"/>
            <w:tcBorders>
              <w:top w:val="single" w:color="000000" w:sz="4" w:space="0"/>
              <w:left w:val="single" w:color="000000" w:sz="4" w:space="0"/>
              <w:bottom w:val="single" w:color="000000" w:sz="4" w:space="0"/>
              <w:right w:val="single" w:color="000000" w:sz="4" w:space="0"/>
            </w:tcBorders>
            <w:shd w:val="clear" w:color="000000" w:fill="FFFFFF"/>
            <w:noWrap w:val="0"/>
            <w:tcMar>
              <w:left w:w="108" w:type="dxa"/>
              <w:right w:w="108" w:type="dxa"/>
            </w:tcMar>
            <w:vAlign w:val="center"/>
          </w:tcPr>
          <w:p w14:paraId="79FFAB55">
            <w:pPr>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9分</w:t>
            </w:r>
          </w:p>
        </w:tc>
        <w:tc>
          <w:tcPr>
            <w:tcW w:w="6649" w:type="dxa"/>
            <w:tcBorders>
              <w:top w:val="single" w:color="000000" w:sz="4" w:space="0"/>
              <w:left w:val="single" w:color="000000" w:sz="4" w:space="0"/>
              <w:bottom w:val="single" w:color="000000" w:sz="4" w:space="0"/>
              <w:right w:val="single" w:color="000000" w:sz="4" w:space="0"/>
            </w:tcBorders>
            <w:shd w:val="clear" w:color="000000" w:fill="FFFFFF"/>
            <w:noWrap w:val="0"/>
            <w:tcMar>
              <w:left w:w="108" w:type="dxa"/>
              <w:right w:w="108" w:type="dxa"/>
            </w:tcMar>
            <w:vAlign w:val="center"/>
          </w:tcPr>
          <w:p w14:paraId="2EE7ACAA">
            <w:pPr>
              <w:numPr>
                <w:ilvl w:val="0"/>
                <w:numId w:val="0"/>
              </w:numPr>
              <w:ind w:left="0" w:leftChars="0" w:firstLine="0" w:firstLineChars="0"/>
              <w:rPr>
                <w:rFonts w:hint="eastAsia" w:ascii="宋体" w:hAnsi="宋体" w:eastAsia="宋体" w:cs="宋体"/>
                <w:kern w:val="2"/>
                <w:sz w:val="24"/>
                <w:szCs w:val="24"/>
                <w:highlight w:val="none"/>
                <w:lang w:val="en-US" w:eastAsia="zh-CN" w:bidi="ar-SA"/>
              </w:rPr>
            </w:pPr>
            <w:r>
              <w:rPr>
                <w:rFonts w:hint="eastAsia" w:ascii="宋体" w:hAnsi="宋体" w:eastAsia="宋体" w:cs="宋体"/>
                <w:color w:val="auto"/>
                <w:sz w:val="24"/>
                <w:szCs w:val="24"/>
                <w:highlight w:val="none"/>
              </w:rPr>
              <w:t>根据投标人提供的</w:t>
            </w:r>
            <w:r>
              <w:rPr>
                <w:rFonts w:hint="eastAsia" w:ascii="宋体" w:hAnsi="宋体" w:eastAsia="宋体" w:cs="宋体"/>
                <w:b/>
                <w:bCs/>
                <w:color w:val="auto"/>
                <w:sz w:val="24"/>
                <w:szCs w:val="24"/>
                <w:highlight w:val="none"/>
                <w:lang w:val="en-US" w:eastAsia="zh-CN"/>
              </w:rPr>
              <w:t>各岗位操作规范</w:t>
            </w:r>
            <w:r>
              <w:rPr>
                <w:rFonts w:hint="eastAsia" w:ascii="宋体" w:hAnsi="宋体" w:eastAsia="宋体" w:cs="宋体"/>
                <w:color w:val="auto"/>
                <w:sz w:val="24"/>
                <w:szCs w:val="24"/>
                <w:highlight w:val="none"/>
              </w:rPr>
              <w:t>（涉及评审要点（共</w:t>
            </w:r>
            <w:r>
              <w:rPr>
                <w:rFonts w:hint="eastAsia" w:ascii="宋体" w:hAnsi="宋体" w:eastAsia="宋体" w:cs="宋体"/>
                <w:color w:val="auto"/>
                <w:sz w:val="24"/>
                <w:szCs w:val="24"/>
                <w:highlight w:val="none"/>
                <w:lang w:val="en-US" w:eastAsia="zh-CN"/>
              </w:rPr>
              <w:t>9</w:t>
            </w:r>
            <w:r>
              <w:rPr>
                <w:rFonts w:hint="eastAsia" w:ascii="宋体" w:hAnsi="宋体" w:eastAsia="宋体" w:cs="宋体"/>
                <w:color w:val="auto"/>
                <w:sz w:val="24"/>
                <w:szCs w:val="24"/>
                <w:highlight w:val="none"/>
              </w:rPr>
              <w:t>项）：①</w:t>
            </w:r>
            <w:r>
              <w:rPr>
                <w:rFonts w:hint="eastAsia" w:ascii="宋体" w:hAnsi="宋体" w:eastAsia="宋体" w:cs="宋体"/>
                <w:bCs/>
                <w:kern w:val="0"/>
                <w:sz w:val="24"/>
                <w:szCs w:val="20"/>
                <w:highlight w:val="none"/>
                <w:lang w:val="en-US" w:eastAsia="zh-CN"/>
              </w:rPr>
              <w:t>采购</w:t>
            </w:r>
            <w:r>
              <w:rPr>
                <w:rFonts w:hint="eastAsia" w:ascii="宋体" w:hAnsi="宋体" w:eastAsia="宋体" w:cs="宋体"/>
                <w:color w:val="auto"/>
                <w:sz w:val="24"/>
                <w:szCs w:val="24"/>
                <w:highlight w:val="none"/>
              </w:rPr>
              <w:t>、②</w:t>
            </w:r>
            <w:r>
              <w:rPr>
                <w:rFonts w:hint="eastAsia" w:ascii="宋体" w:hAnsi="宋体" w:eastAsia="宋体" w:cs="宋体"/>
                <w:bCs/>
                <w:kern w:val="0"/>
                <w:sz w:val="24"/>
                <w:szCs w:val="20"/>
                <w:highlight w:val="none"/>
                <w:lang w:val="en-US" w:eastAsia="zh-CN"/>
              </w:rPr>
              <w:t>仓储、</w:t>
            </w:r>
            <w:r>
              <w:rPr>
                <w:rFonts w:hint="eastAsia" w:ascii="宋体" w:hAnsi="宋体" w:eastAsia="宋体" w:cs="宋体"/>
                <w:kern w:val="0"/>
                <w:sz w:val="24"/>
                <w:highlight w:val="none"/>
                <w:lang w:val="zh-CN"/>
              </w:rPr>
              <w:t>③</w:t>
            </w:r>
            <w:r>
              <w:rPr>
                <w:rFonts w:hint="eastAsia" w:ascii="宋体" w:hAnsi="宋体" w:eastAsia="宋体" w:cs="宋体"/>
                <w:sz w:val="24"/>
                <w:highlight w:val="none"/>
              </w:rPr>
              <w:t>粗加工</w:t>
            </w:r>
            <w:r>
              <w:rPr>
                <w:rFonts w:hint="eastAsia" w:ascii="宋体" w:hAnsi="宋体" w:eastAsia="宋体" w:cs="宋体"/>
                <w:kern w:val="0"/>
                <w:sz w:val="24"/>
                <w:highlight w:val="none"/>
                <w:lang w:val="zh-CN"/>
              </w:rPr>
              <w:t>、</w:t>
            </w:r>
            <w:r>
              <w:rPr>
                <w:rFonts w:hint="eastAsia" w:ascii="宋体" w:hAnsi="宋体" w:eastAsia="宋体" w:cs="宋体"/>
                <w:sz w:val="24"/>
                <w:highlight w:val="none"/>
              </w:rPr>
              <w:t>④烹饪、⑤备餐、</w:t>
            </w:r>
            <w:r>
              <w:rPr>
                <w:rFonts w:hint="eastAsia" w:ascii="宋体" w:hAnsi="宋体" w:eastAsia="宋体" w:cs="宋体"/>
                <w:kern w:val="0"/>
                <w:sz w:val="24"/>
                <w:highlight w:val="none"/>
                <w:lang w:val="zh-CN"/>
              </w:rPr>
              <w:t>⑥运输、⑦</w:t>
            </w:r>
            <w:r>
              <w:rPr>
                <w:rFonts w:hint="eastAsia" w:ascii="宋体" w:hAnsi="宋体" w:eastAsia="宋体" w:cs="宋体"/>
                <w:kern w:val="0"/>
                <w:sz w:val="24"/>
                <w:highlight w:val="none"/>
              </w:rPr>
              <w:t>分餐</w:t>
            </w:r>
            <w:r>
              <w:rPr>
                <w:rFonts w:hint="eastAsia" w:ascii="宋体" w:hAnsi="宋体" w:eastAsia="宋体" w:cs="宋体"/>
                <w:sz w:val="24"/>
                <w:highlight w:val="none"/>
              </w:rPr>
              <w:t>、</w:t>
            </w:r>
            <w:r>
              <w:rPr>
                <w:rFonts w:hint="eastAsia" w:ascii="宋体" w:hAnsi="宋体" w:eastAsia="宋体" w:cs="宋体"/>
                <w:kern w:val="0"/>
                <w:sz w:val="24"/>
                <w:highlight w:val="none"/>
                <w:lang w:val="zh-CN"/>
              </w:rPr>
              <w:t>⑧保洁、</w:t>
            </w:r>
            <w:r>
              <w:rPr>
                <w:rFonts w:hint="eastAsia" w:ascii="宋体" w:hAnsi="宋体" w:eastAsia="宋体" w:cs="宋体"/>
                <w:kern w:val="0"/>
                <w:sz w:val="24"/>
                <w:highlight w:val="none"/>
              </w:rPr>
              <w:t>清洗</w:t>
            </w:r>
            <w:r>
              <w:rPr>
                <w:rFonts w:hint="eastAsia" w:ascii="宋体" w:hAnsi="宋体" w:eastAsia="宋体" w:cs="宋体"/>
                <w:kern w:val="0"/>
                <w:sz w:val="24"/>
                <w:highlight w:val="none"/>
                <w:lang w:eastAsia="zh-CN"/>
              </w:rPr>
              <w:t>、</w:t>
            </w:r>
            <w:r>
              <w:rPr>
                <w:rFonts w:hint="eastAsia" w:ascii="宋体" w:hAnsi="宋体" w:eastAsia="宋体" w:cs="宋体"/>
                <w:kern w:val="0"/>
                <w:sz w:val="24"/>
                <w:highlight w:val="none"/>
                <w:lang w:val="zh-CN"/>
              </w:rPr>
              <w:t>⑨消毒</w:t>
            </w:r>
            <w:r>
              <w:rPr>
                <w:rFonts w:hint="eastAsia" w:ascii="宋体" w:hAnsi="宋体" w:eastAsia="宋体" w:cs="宋体"/>
                <w:bCs/>
                <w:kern w:val="0"/>
                <w:sz w:val="24"/>
                <w:szCs w:val="20"/>
                <w:highlight w:val="none"/>
                <w:lang w:eastAsia="zh-CN"/>
              </w:rPr>
              <w:t>）</w:t>
            </w:r>
            <w:r>
              <w:rPr>
                <w:rFonts w:hint="eastAsia" w:ascii="宋体" w:hAnsi="宋体" w:eastAsia="宋体" w:cs="宋体"/>
                <w:color w:val="auto"/>
                <w:sz w:val="24"/>
                <w:szCs w:val="24"/>
                <w:highlight w:val="none"/>
              </w:rPr>
              <w:t>进行综合评定，</w:t>
            </w:r>
            <w:r>
              <w:rPr>
                <w:rFonts w:hint="eastAsia" w:ascii="宋体" w:hAnsi="宋体" w:eastAsia="宋体" w:cs="宋体"/>
                <w:b/>
                <w:bCs/>
                <w:color w:val="auto"/>
                <w:sz w:val="24"/>
                <w:szCs w:val="24"/>
                <w:highlight w:val="none"/>
              </w:rPr>
              <w:t>本项最高得</w:t>
            </w:r>
            <w:r>
              <w:rPr>
                <w:rFonts w:hint="eastAsia" w:ascii="宋体" w:hAnsi="宋体" w:eastAsia="宋体" w:cs="宋体"/>
                <w:b/>
                <w:bCs/>
                <w:color w:val="auto"/>
                <w:sz w:val="24"/>
                <w:szCs w:val="24"/>
                <w:highlight w:val="none"/>
                <w:lang w:val="en-US" w:eastAsia="zh-CN"/>
              </w:rPr>
              <w:t>9</w:t>
            </w:r>
            <w:r>
              <w:rPr>
                <w:rFonts w:hint="eastAsia" w:ascii="宋体" w:hAnsi="宋体" w:eastAsia="宋体" w:cs="宋体"/>
                <w:b/>
                <w:bCs/>
                <w:color w:val="auto"/>
                <w:sz w:val="24"/>
                <w:szCs w:val="24"/>
                <w:highlight w:val="none"/>
              </w:rPr>
              <w:t>分</w:t>
            </w:r>
            <w:r>
              <w:rPr>
                <w:rFonts w:hint="eastAsia" w:ascii="宋体" w:hAnsi="宋体" w:eastAsia="宋体" w:cs="宋体"/>
                <w:color w:val="auto"/>
                <w:sz w:val="24"/>
                <w:szCs w:val="24"/>
                <w:highlight w:val="none"/>
              </w:rPr>
              <w:t>。体现上述评审要点且内容完全贴合项目需求的，每有一项得</w:t>
            </w: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分；体现上述评审要点但内容无法完全贴合项目需求的，每有一项得</w:t>
            </w:r>
            <w:r>
              <w:rPr>
                <w:rFonts w:hint="eastAsia" w:ascii="宋体" w:hAnsi="宋体" w:eastAsia="宋体" w:cs="宋体"/>
                <w:color w:val="auto"/>
                <w:sz w:val="24"/>
                <w:szCs w:val="24"/>
                <w:highlight w:val="none"/>
                <w:lang w:val="en-US" w:eastAsia="zh-CN"/>
              </w:rPr>
              <w:t>0.5</w:t>
            </w:r>
            <w:r>
              <w:rPr>
                <w:rFonts w:hint="eastAsia" w:ascii="宋体" w:hAnsi="宋体" w:eastAsia="宋体" w:cs="宋体"/>
                <w:color w:val="auto"/>
                <w:sz w:val="24"/>
                <w:szCs w:val="24"/>
                <w:highlight w:val="none"/>
              </w:rPr>
              <w:t>分；未能体现评审要点（或无实质性内容的），对应项得0分。</w:t>
            </w:r>
          </w:p>
        </w:tc>
      </w:tr>
      <w:tr w14:paraId="76949D92">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10" w:type="dxa"/>
            <w:bottom w:w="0" w:type="dxa"/>
            <w:right w:w="10" w:type="dxa"/>
          </w:tblCellMar>
        </w:tblPrEx>
        <w:trPr>
          <w:trHeight w:val="711" w:hRule="atLeast"/>
          <w:jc w:val="center"/>
        </w:trPr>
        <w:tc>
          <w:tcPr>
            <w:tcW w:w="742" w:type="dxa"/>
            <w:tcBorders>
              <w:top w:val="single" w:color="000000" w:sz="4" w:space="0"/>
              <w:left w:val="single" w:color="000000" w:sz="4" w:space="0"/>
              <w:bottom w:val="single" w:color="000000" w:sz="4" w:space="0"/>
              <w:right w:val="single" w:color="000000" w:sz="4" w:space="0"/>
            </w:tcBorders>
            <w:shd w:val="clear" w:color="000000" w:fill="FFFFFF"/>
            <w:noWrap w:val="0"/>
            <w:tcMar>
              <w:left w:w="108" w:type="dxa"/>
              <w:right w:w="108" w:type="dxa"/>
            </w:tcMar>
            <w:vAlign w:val="center"/>
          </w:tcPr>
          <w:p w14:paraId="047E66D2">
            <w:pPr>
              <w:keepNext w:val="0"/>
              <w:keepLines w:val="0"/>
              <w:pageBreakBefore w:val="0"/>
              <w:kinsoku/>
              <w:wordWrap/>
              <w:overflowPunct/>
              <w:topLinePunct w:val="0"/>
              <w:bidi w:val="0"/>
              <w:adjustRightInd/>
              <w:snapToGrid/>
              <w:spacing w:line="400" w:lineRule="exact"/>
              <w:jc w:val="center"/>
              <w:textAlignment w:val="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4</w:t>
            </w:r>
          </w:p>
        </w:tc>
        <w:tc>
          <w:tcPr>
            <w:tcW w:w="1667" w:type="dxa"/>
            <w:tcBorders>
              <w:top w:val="single" w:color="000000" w:sz="4" w:space="0"/>
              <w:left w:val="single" w:color="000000" w:sz="4" w:space="0"/>
              <w:bottom w:val="single" w:color="000000" w:sz="4" w:space="0"/>
              <w:right w:val="single" w:color="000000" w:sz="4" w:space="0"/>
            </w:tcBorders>
            <w:shd w:val="clear" w:color="000000" w:fill="FFFFFF"/>
            <w:noWrap w:val="0"/>
            <w:tcMar>
              <w:left w:w="108" w:type="dxa"/>
              <w:right w:w="108" w:type="dxa"/>
            </w:tcMar>
            <w:vAlign w:val="center"/>
          </w:tcPr>
          <w:p w14:paraId="059CD7C0">
            <w:pPr>
              <w:jc w:val="center"/>
              <w:rPr>
                <w:rFonts w:hint="eastAsia" w:ascii="宋体" w:hAnsi="宋体" w:eastAsia="宋体" w:cs="宋体"/>
                <w:sz w:val="24"/>
                <w:szCs w:val="24"/>
                <w:highlight w:val="none"/>
                <w:lang w:val="en-US"/>
              </w:rPr>
            </w:pPr>
            <w:r>
              <w:rPr>
                <w:rFonts w:hint="eastAsia" w:ascii="宋体" w:hAnsi="宋体" w:eastAsia="宋体" w:cs="宋体"/>
                <w:color w:val="auto"/>
                <w:sz w:val="24"/>
                <w:szCs w:val="24"/>
                <w:highlight w:val="none"/>
                <w:lang w:val="en-US" w:eastAsia="zh-CN"/>
              </w:rPr>
              <w:t>应急处置方案</w:t>
            </w:r>
          </w:p>
        </w:tc>
        <w:tc>
          <w:tcPr>
            <w:tcW w:w="777" w:type="dxa"/>
            <w:tcBorders>
              <w:top w:val="single" w:color="000000" w:sz="4" w:space="0"/>
              <w:left w:val="single" w:color="000000" w:sz="4" w:space="0"/>
              <w:bottom w:val="single" w:color="000000" w:sz="4" w:space="0"/>
              <w:right w:val="single" w:color="000000" w:sz="4" w:space="0"/>
            </w:tcBorders>
            <w:shd w:val="clear" w:color="000000" w:fill="FFFFFF"/>
            <w:noWrap w:val="0"/>
            <w:tcMar>
              <w:left w:w="108" w:type="dxa"/>
              <w:right w:w="108" w:type="dxa"/>
            </w:tcMar>
            <w:vAlign w:val="center"/>
          </w:tcPr>
          <w:p w14:paraId="18E09CA0">
            <w:pPr>
              <w:jc w:val="center"/>
              <w:rPr>
                <w:rFonts w:hint="eastAsia" w:ascii="宋体" w:hAnsi="宋体" w:eastAsia="宋体" w:cs="宋体"/>
                <w:sz w:val="24"/>
                <w:szCs w:val="24"/>
                <w:highlight w:val="none"/>
                <w:lang w:val="en-US" w:eastAsia="zh-CN"/>
              </w:rPr>
            </w:pPr>
            <w:r>
              <w:rPr>
                <w:rFonts w:hint="eastAsia" w:ascii="宋体" w:hAnsi="宋体" w:eastAsia="宋体" w:cs="宋体"/>
                <w:color w:val="auto"/>
                <w:sz w:val="24"/>
                <w:szCs w:val="24"/>
                <w:highlight w:val="none"/>
                <w:lang w:val="en-US" w:eastAsia="zh-CN"/>
              </w:rPr>
              <w:t>8</w:t>
            </w:r>
            <w:r>
              <w:rPr>
                <w:rFonts w:hint="eastAsia" w:ascii="宋体" w:hAnsi="宋体" w:eastAsia="宋体" w:cs="宋体"/>
                <w:color w:val="auto"/>
                <w:sz w:val="24"/>
                <w:szCs w:val="24"/>
                <w:highlight w:val="none"/>
              </w:rPr>
              <w:t>分</w:t>
            </w:r>
          </w:p>
        </w:tc>
        <w:tc>
          <w:tcPr>
            <w:tcW w:w="6649" w:type="dxa"/>
            <w:tcBorders>
              <w:top w:val="single" w:color="000000" w:sz="4" w:space="0"/>
              <w:left w:val="single" w:color="000000" w:sz="4" w:space="0"/>
              <w:bottom w:val="single" w:color="000000" w:sz="4" w:space="0"/>
              <w:right w:val="single" w:color="000000" w:sz="4" w:space="0"/>
            </w:tcBorders>
            <w:shd w:val="clear" w:color="000000" w:fill="FFFFFF"/>
            <w:noWrap w:val="0"/>
            <w:tcMar>
              <w:left w:w="108" w:type="dxa"/>
              <w:right w:w="108" w:type="dxa"/>
            </w:tcMar>
            <w:vAlign w:val="center"/>
          </w:tcPr>
          <w:p w14:paraId="7752A6C9">
            <w:pPr>
              <w:numPr>
                <w:ilvl w:val="0"/>
                <w:numId w:val="0"/>
              </w:numPr>
              <w:ind w:left="0" w:leftChars="0" w:firstLine="0" w:firstLineChars="0"/>
              <w:rPr>
                <w:rFonts w:hint="eastAsia" w:ascii="宋体" w:hAnsi="宋体" w:eastAsia="宋体" w:cs="宋体"/>
                <w:kern w:val="2"/>
                <w:sz w:val="24"/>
                <w:szCs w:val="24"/>
                <w:highlight w:val="none"/>
                <w:lang w:val="en-US" w:eastAsia="zh-CN" w:bidi="ar-SA"/>
              </w:rPr>
            </w:pPr>
            <w:r>
              <w:rPr>
                <w:rFonts w:hint="eastAsia" w:ascii="宋体" w:hAnsi="宋体" w:eastAsia="宋体" w:cs="宋体"/>
                <w:color w:val="auto"/>
                <w:sz w:val="24"/>
                <w:szCs w:val="24"/>
                <w:highlight w:val="none"/>
              </w:rPr>
              <w:t>根据投标人提供的</w:t>
            </w:r>
            <w:r>
              <w:rPr>
                <w:rFonts w:hint="eastAsia" w:ascii="宋体" w:hAnsi="宋体" w:eastAsia="宋体" w:cs="宋体"/>
                <w:b/>
                <w:bCs/>
                <w:color w:val="auto"/>
                <w:sz w:val="24"/>
                <w:szCs w:val="24"/>
                <w:highlight w:val="none"/>
                <w:lang w:val="en-US" w:eastAsia="zh-CN"/>
              </w:rPr>
              <w:t>应急处置方案</w:t>
            </w:r>
            <w:r>
              <w:rPr>
                <w:rFonts w:hint="eastAsia" w:ascii="宋体" w:hAnsi="宋体" w:eastAsia="宋体" w:cs="宋体"/>
                <w:color w:val="auto"/>
                <w:sz w:val="24"/>
                <w:szCs w:val="24"/>
                <w:highlight w:val="none"/>
              </w:rPr>
              <w:t>（涉及评审要点（共</w:t>
            </w: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rPr>
              <w:t>项）：</w:t>
            </w:r>
            <w:r>
              <w:rPr>
                <w:rFonts w:hint="eastAsia" w:ascii="宋体" w:hAnsi="宋体" w:eastAsia="宋体" w:cs="宋体"/>
                <w:kern w:val="0"/>
                <w:sz w:val="24"/>
                <w:highlight w:val="none"/>
              </w:rPr>
              <w:t>①</w:t>
            </w:r>
            <w:r>
              <w:rPr>
                <w:rFonts w:hint="eastAsia" w:ascii="宋体" w:hAnsi="宋体" w:eastAsia="宋体" w:cs="宋体"/>
                <w:sz w:val="24"/>
                <w:highlight w:val="none"/>
              </w:rPr>
              <w:t>食物中毒事故应急预案、②遇到突发情况（如停水、停电等）应急预案、③设备突然损坏应急预案、④临时增加就餐人员应急预案</w:t>
            </w:r>
            <w:r>
              <w:rPr>
                <w:rFonts w:hint="eastAsia" w:ascii="宋体" w:hAnsi="宋体" w:eastAsia="宋体" w:cs="宋体"/>
                <w:color w:val="auto"/>
                <w:sz w:val="24"/>
                <w:szCs w:val="24"/>
                <w:highlight w:val="none"/>
              </w:rPr>
              <w:t>）进行综合评定，</w:t>
            </w:r>
            <w:r>
              <w:rPr>
                <w:rFonts w:hint="eastAsia" w:ascii="宋体" w:hAnsi="宋体" w:eastAsia="宋体" w:cs="宋体"/>
                <w:b/>
                <w:bCs/>
                <w:color w:val="auto"/>
                <w:sz w:val="24"/>
                <w:szCs w:val="24"/>
                <w:highlight w:val="none"/>
              </w:rPr>
              <w:t>本项最高得</w:t>
            </w:r>
            <w:r>
              <w:rPr>
                <w:rFonts w:hint="eastAsia" w:ascii="宋体" w:hAnsi="宋体" w:eastAsia="宋体" w:cs="宋体"/>
                <w:b/>
                <w:bCs/>
                <w:color w:val="auto"/>
                <w:sz w:val="24"/>
                <w:szCs w:val="24"/>
                <w:highlight w:val="none"/>
                <w:lang w:val="en-US" w:eastAsia="zh-CN"/>
              </w:rPr>
              <w:t>8</w:t>
            </w:r>
            <w:r>
              <w:rPr>
                <w:rFonts w:hint="eastAsia" w:ascii="宋体" w:hAnsi="宋体" w:eastAsia="宋体" w:cs="宋体"/>
                <w:b/>
                <w:bCs/>
                <w:color w:val="auto"/>
                <w:sz w:val="24"/>
                <w:szCs w:val="24"/>
                <w:highlight w:val="none"/>
              </w:rPr>
              <w:t>分</w:t>
            </w:r>
            <w:r>
              <w:rPr>
                <w:rFonts w:hint="eastAsia" w:ascii="宋体" w:hAnsi="宋体" w:eastAsia="宋体" w:cs="宋体"/>
                <w:color w:val="auto"/>
                <w:sz w:val="24"/>
                <w:szCs w:val="24"/>
                <w:highlight w:val="none"/>
              </w:rPr>
              <w:t>。体现上述评审要点且内容完全贴合项目需求的，每有一项得</w:t>
            </w: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分；体现上述评审要点但内容无法完全贴合项目需求的，每有一项得</w:t>
            </w: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分；未能体现评审要点（或无实质性内容的），对应项得0分。</w:t>
            </w:r>
          </w:p>
        </w:tc>
      </w:tr>
      <w:tr w14:paraId="567DF1D5">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10" w:type="dxa"/>
            <w:bottom w:w="0" w:type="dxa"/>
            <w:right w:w="10" w:type="dxa"/>
          </w:tblCellMar>
        </w:tblPrEx>
        <w:trPr>
          <w:trHeight w:val="711" w:hRule="atLeast"/>
          <w:jc w:val="center"/>
        </w:trPr>
        <w:tc>
          <w:tcPr>
            <w:tcW w:w="742" w:type="dxa"/>
            <w:tcBorders>
              <w:top w:val="single" w:color="000000" w:sz="4" w:space="0"/>
              <w:left w:val="single" w:color="000000" w:sz="4" w:space="0"/>
              <w:bottom w:val="single" w:color="000000" w:sz="4" w:space="0"/>
              <w:right w:val="single" w:color="000000" w:sz="4" w:space="0"/>
            </w:tcBorders>
            <w:shd w:val="clear" w:color="000000" w:fill="FFFFFF"/>
            <w:noWrap w:val="0"/>
            <w:tcMar>
              <w:left w:w="108" w:type="dxa"/>
              <w:right w:w="108" w:type="dxa"/>
            </w:tcMar>
            <w:vAlign w:val="center"/>
          </w:tcPr>
          <w:p w14:paraId="1006F5B0">
            <w:pPr>
              <w:keepNext w:val="0"/>
              <w:keepLines w:val="0"/>
              <w:pageBreakBefore w:val="0"/>
              <w:kinsoku/>
              <w:wordWrap/>
              <w:overflowPunct/>
              <w:topLinePunct w:val="0"/>
              <w:bidi w:val="0"/>
              <w:adjustRightInd/>
              <w:snapToGrid/>
              <w:spacing w:line="400" w:lineRule="exact"/>
              <w:jc w:val="center"/>
              <w:textAlignment w:val="auto"/>
              <w:rPr>
                <w:rFonts w:hint="eastAsia" w:ascii="宋体" w:hAnsi="宋体" w:eastAsia="宋体" w:cs="宋体"/>
                <w:kern w:val="2"/>
                <w:sz w:val="24"/>
                <w:szCs w:val="24"/>
                <w:highlight w:val="none"/>
                <w:lang w:val="en-US" w:eastAsia="zh-CN" w:bidi="ar-SA"/>
              </w:rPr>
            </w:pPr>
            <w:r>
              <w:rPr>
                <w:rFonts w:hint="eastAsia" w:ascii="宋体" w:hAnsi="宋体" w:eastAsia="宋体" w:cs="宋体"/>
                <w:sz w:val="24"/>
                <w:szCs w:val="24"/>
                <w:highlight w:val="none"/>
                <w:lang w:val="en-US" w:eastAsia="zh-CN"/>
              </w:rPr>
              <w:t>5</w:t>
            </w:r>
          </w:p>
        </w:tc>
        <w:tc>
          <w:tcPr>
            <w:tcW w:w="1667" w:type="dxa"/>
            <w:tcBorders>
              <w:top w:val="single" w:color="000000" w:sz="4" w:space="0"/>
              <w:left w:val="single" w:color="000000" w:sz="4" w:space="0"/>
              <w:bottom w:val="single" w:color="000000" w:sz="4" w:space="0"/>
              <w:right w:val="single" w:color="000000" w:sz="4" w:space="0"/>
            </w:tcBorders>
            <w:shd w:val="clear" w:color="000000" w:fill="FFFFFF"/>
            <w:noWrap w:val="0"/>
            <w:tcMar>
              <w:left w:w="108" w:type="dxa"/>
              <w:right w:w="108" w:type="dxa"/>
            </w:tcMar>
            <w:vAlign w:val="center"/>
          </w:tcPr>
          <w:p w14:paraId="3F7E3FFA">
            <w:pPr>
              <w:jc w:val="center"/>
              <w:rPr>
                <w:rFonts w:hint="eastAsia" w:ascii="宋体" w:hAnsi="宋体" w:eastAsia="宋体" w:cs="宋体"/>
                <w:kern w:val="2"/>
                <w:sz w:val="24"/>
                <w:szCs w:val="24"/>
                <w:highlight w:val="none"/>
                <w:lang w:val="en-US" w:eastAsia="zh-CN" w:bidi="ar-SA"/>
              </w:rPr>
            </w:pPr>
            <w:r>
              <w:rPr>
                <w:rFonts w:hint="eastAsia" w:ascii="宋体" w:hAnsi="宋体" w:eastAsia="宋体" w:cs="宋体"/>
                <w:color w:val="auto"/>
                <w:sz w:val="24"/>
                <w:szCs w:val="24"/>
                <w:highlight w:val="none"/>
                <w:lang w:val="en-US" w:eastAsia="zh-CN"/>
              </w:rPr>
              <w:t>企业内部管理制度</w:t>
            </w:r>
          </w:p>
        </w:tc>
        <w:tc>
          <w:tcPr>
            <w:tcW w:w="777" w:type="dxa"/>
            <w:tcBorders>
              <w:top w:val="single" w:color="000000" w:sz="4" w:space="0"/>
              <w:left w:val="single" w:color="000000" w:sz="4" w:space="0"/>
              <w:bottom w:val="single" w:color="000000" w:sz="4" w:space="0"/>
              <w:right w:val="single" w:color="000000" w:sz="4" w:space="0"/>
            </w:tcBorders>
            <w:shd w:val="clear" w:color="000000" w:fill="FFFFFF"/>
            <w:noWrap w:val="0"/>
            <w:tcMar>
              <w:left w:w="108" w:type="dxa"/>
              <w:right w:w="108" w:type="dxa"/>
            </w:tcMar>
            <w:vAlign w:val="center"/>
          </w:tcPr>
          <w:p w14:paraId="794C9434">
            <w:pPr>
              <w:jc w:val="center"/>
              <w:rPr>
                <w:rFonts w:hint="eastAsia" w:ascii="宋体" w:hAnsi="宋体" w:eastAsia="宋体" w:cs="宋体"/>
                <w:kern w:val="2"/>
                <w:sz w:val="24"/>
                <w:szCs w:val="24"/>
                <w:highlight w:val="none"/>
                <w:lang w:val="en-US" w:eastAsia="zh-CN" w:bidi="ar-SA"/>
              </w:rPr>
            </w:pP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rPr>
              <w:t>分</w:t>
            </w:r>
          </w:p>
        </w:tc>
        <w:tc>
          <w:tcPr>
            <w:tcW w:w="6649" w:type="dxa"/>
            <w:tcBorders>
              <w:top w:val="single" w:color="000000" w:sz="4" w:space="0"/>
              <w:left w:val="single" w:color="000000" w:sz="4" w:space="0"/>
              <w:bottom w:val="single" w:color="000000" w:sz="4" w:space="0"/>
              <w:right w:val="single" w:color="000000" w:sz="4" w:space="0"/>
            </w:tcBorders>
            <w:shd w:val="clear" w:color="000000" w:fill="FFFFFF"/>
            <w:noWrap w:val="0"/>
            <w:tcMar>
              <w:left w:w="108" w:type="dxa"/>
              <w:right w:w="108" w:type="dxa"/>
            </w:tcMar>
            <w:vAlign w:val="center"/>
          </w:tcPr>
          <w:p w14:paraId="69EBCF30">
            <w:pPr>
              <w:numPr>
                <w:ilvl w:val="0"/>
                <w:numId w:val="0"/>
              </w:numPr>
              <w:ind w:left="0" w:leftChars="0" w:firstLine="0" w:firstLineChars="0"/>
              <w:rPr>
                <w:rFonts w:hint="eastAsia" w:ascii="宋体" w:hAnsi="宋体" w:eastAsia="宋体" w:cs="宋体"/>
                <w:kern w:val="2"/>
                <w:sz w:val="24"/>
                <w:szCs w:val="24"/>
                <w:highlight w:val="none"/>
                <w:lang w:val="en-US" w:eastAsia="zh-CN" w:bidi="ar-SA"/>
              </w:rPr>
            </w:pPr>
            <w:r>
              <w:rPr>
                <w:rFonts w:hint="eastAsia" w:ascii="宋体" w:hAnsi="宋体" w:eastAsia="宋体" w:cs="宋体"/>
                <w:color w:val="auto"/>
                <w:sz w:val="24"/>
                <w:szCs w:val="24"/>
                <w:highlight w:val="none"/>
              </w:rPr>
              <w:t>根据投标人提供的</w:t>
            </w:r>
            <w:r>
              <w:rPr>
                <w:rFonts w:hint="eastAsia" w:ascii="宋体" w:hAnsi="宋体" w:eastAsia="宋体" w:cs="宋体"/>
                <w:b/>
                <w:bCs/>
                <w:color w:val="auto"/>
                <w:sz w:val="24"/>
                <w:szCs w:val="24"/>
                <w:highlight w:val="none"/>
                <w:lang w:val="en-US" w:eastAsia="zh-CN"/>
              </w:rPr>
              <w:t>质量保证方案</w:t>
            </w:r>
            <w:r>
              <w:rPr>
                <w:rFonts w:hint="eastAsia" w:ascii="宋体" w:hAnsi="宋体" w:eastAsia="宋体" w:cs="宋体"/>
                <w:color w:val="auto"/>
                <w:sz w:val="24"/>
                <w:szCs w:val="24"/>
                <w:highlight w:val="none"/>
              </w:rPr>
              <w:t>（涉及评审要点（共</w:t>
            </w: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项）：</w:t>
            </w:r>
            <w:r>
              <w:rPr>
                <w:rFonts w:hint="eastAsia" w:ascii="宋体" w:hAnsi="宋体" w:eastAsia="宋体" w:cs="宋体"/>
                <w:kern w:val="0"/>
                <w:sz w:val="24"/>
                <w:highlight w:val="none"/>
              </w:rPr>
              <w:t>①</w:t>
            </w:r>
            <w:r>
              <w:rPr>
                <w:rFonts w:hint="eastAsia" w:ascii="宋体" w:hAnsi="宋体" w:eastAsia="宋体" w:cs="宋体"/>
                <w:sz w:val="24"/>
                <w:highlight w:val="none"/>
              </w:rPr>
              <w:t>食品安全卫生管理制度、②</w:t>
            </w:r>
            <w:r>
              <w:rPr>
                <w:rFonts w:hint="eastAsia" w:ascii="宋体" w:hAnsi="宋体" w:eastAsia="宋体" w:cs="宋体"/>
                <w:kern w:val="0"/>
                <w:sz w:val="24"/>
                <w:highlight w:val="none"/>
              </w:rPr>
              <w:t>服务质量保障制度</w:t>
            </w:r>
            <w:r>
              <w:rPr>
                <w:rFonts w:hint="eastAsia" w:ascii="宋体" w:hAnsi="宋体" w:eastAsia="宋体" w:cs="宋体"/>
                <w:color w:val="auto"/>
                <w:sz w:val="24"/>
                <w:szCs w:val="24"/>
                <w:highlight w:val="none"/>
              </w:rPr>
              <w:t>）进行综合评定，</w:t>
            </w:r>
            <w:r>
              <w:rPr>
                <w:rFonts w:hint="eastAsia" w:ascii="宋体" w:hAnsi="宋体" w:eastAsia="宋体" w:cs="宋体"/>
                <w:b/>
                <w:bCs/>
                <w:color w:val="auto"/>
                <w:sz w:val="24"/>
                <w:szCs w:val="24"/>
                <w:highlight w:val="none"/>
              </w:rPr>
              <w:t>本项最高得</w:t>
            </w:r>
            <w:r>
              <w:rPr>
                <w:rFonts w:hint="eastAsia" w:ascii="宋体" w:hAnsi="宋体" w:eastAsia="宋体" w:cs="宋体"/>
                <w:b/>
                <w:bCs/>
                <w:color w:val="auto"/>
                <w:sz w:val="24"/>
                <w:szCs w:val="24"/>
                <w:highlight w:val="none"/>
                <w:lang w:val="en-US" w:eastAsia="zh-CN"/>
              </w:rPr>
              <w:t>4</w:t>
            </w:r>
            <w:r>
              <w:rPr>
                <w:rFonts w:hint="eastAsia" w:ascii="宋体" w:hAnsi="宋体" w:eastAsia="宋体" w:cs="宋体"/>
                <w:b/>
                <w:bCs/>
                <w:color w:val="auto"/>
                <w:sz w:val="24"/>
                <w:szCs w:val="24"/>
                <w:highlight w:val="none"/>
              </w:rPr>
              <w:t>分</w:t>
            </w:r>
            <w:r>
              <w:rPr>
                <w:rFonts w:hint="eastAsia" w:ascii="宋体" w:hAnsi="宋体" w:eastAsia="宋体" w:cs="宋体"/>
                <w:color w:val="auto"/>
                <w:sz w:val="24"/>
                <w:szCs w:val="24"/>
                <w:highlight w:val="none"/>
              </w:rPr>
              <w:t>。体现上述评审要点且内容完全贴合项目需求的，每有一项得</w:t>
            </w: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分；体现上述评审要点但内容无法完全贴合项目需求的，每有一项得</w:t>
            </w: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分；未能体现评审要点（或无实质性内容的），对应项得0分。</w:t>
            </w:r>
          </w:p>
        </w:tc>
      </w:tr>
    </w:tbl>
    <w:p w14:paraId="297CE1EC">
      <w:pPr>
        <w:spacing w:line="440" w:lineRule="exact"/>
        <w:ind w:firstLine="241" w:firstLineChars="100"/>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3、</w:t>
      </w:r>
      <w:r>
        <w:rPr>
          <w:rFonts w:hint="eastAsia" w:ascii="宋体" w:hAnsi="宋体" w:eastAsia="宋体" w:cs="宋体"/>
          <w:b/>
          <w:color w:val="auto"/>
          <w:sz w:val="24"/>
          <w:szCs w:val="24"/>
          <w:highlight w:val="none"/>
          <w:lang w:val="en-US" w:eastAsia="zh-CN"/>
        </w:rPr>
        <w:t>人员配备</w:t>
      </w:r>
      <w:r>
        <w:rPr>
          <w:rFonts w:hint="eastAsia" w:ascii="宋体" w:hAnsi="宋体" w:eastAsia="宋体" w:cs="宋体"/>
          <w:b/>
          <w:color w:val="auto"/>
          <w:sz w:val="24"/>
          <w:szCs w:val="24"/>
          <w:highlight w:val="none"/>
        </w:rPr>
        <w:t>能力</w:t>
      </w:r>
      <w:r>
        <w:rPr>
          <w:rFonts w:hint="eastAsia" w:ascii="宋体" w:hAnsi="宋体" w:eastAsia="宋体" w:cs="宋体"/>
          <w:b/>
          <w:color w:val="auto"/>
          <w:sz w:val="24"/>
          <w:szCs w:val="24"/>
          <w:highlight w:val="none"/>
          <w:lang w:val="en-US" w:eastAsia="zh-CN"/>
        </w:rPr>
        <w:t>9</w:t>
      </w:r>
      <w:r>
        <w:rPr>
          <w:rFonts w:hint="eastAsia" w:ascii="宋体" w:hAnsi="宋体" w:eastAsia="宋体" w:cs="宋体"/>
          <w:b/>
          <w:color w:val="auto"/>
          <w:sz w:val="24"/>
          <w:szCs w:val="24"/>
          <w:highlight w:val="none"/>
        </w:rPr>
        <w:t>分</w:t>
      </w:r>
    </w:p>
    <w:tbl>
      <w:tblPr>
        <w:tblStyle w:val="54"/>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 w:type="dxa"/>
          <w:bottom w:w="0" w:type="dxa"/>
          <w:right w:w="10" w:type="dxa"/>
        </w:tblCellMar>
      </w:tblPr>
      <w:tblGrid>
        <w:gridCol w:w="835"/>
        <w:gridCol w:w="1471"/>
        <w:gridCol w:w="777"/>
        <w:gridCol w:w="6649"/>
      </w:tblGrid>
      <w:tr w14:paraId="5C4125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312" w:hRule="atLeast"/>
          <w:jc w:val="center"/>
        </w:trPr>
        <w:tc>
          <w:tcPr>
            <w:tcW w:w="835" w:type="dxa"/>
            <w:shd w:val="clear" w:color="000000" w:fill="FFFFFF"/>
            <w:noWrap w:val="0"/>
            <w:tcMar>
              <w:left w:w="108" w:type="dxa"/>
              <w:right w:w="108" w:type="dxa"/>
            </w:tcMar>
            <w:vAlign w:val="center"/>
          </w:tcPr>
          <w:p w14:paraId="0EEA5158">
            <w:pPr>
              <w:keepNext w:val="0"/>
              <w:keepLines w:val="0"/>
              <w:pageBreakBefore w:val="0"/>
              <w:widowControl w:val="0"/>
              <w:kinsoku/>
              <w:wordWrap/>
              <w:overflowPunct/>
              <w:topLinePunct w:val="0"/>
              <w:bidi w:val="0"/>
              <w:adjustRightInd/>
              <w:snapToGrid/>
              <w:spacing w:line="400" w:lineRule="exact"/>
              <w:jc w:val="center"/>
              <w:textAlignment w:val="auto"/>
              <w:rPr>
                <w:rFonts w:hint="eastAsia" w:ascii="宋体" w:hAnsi="宋体" w:eastAsia="宋体" w:cs="宋体"/>
                <w:highlight w:val="none"/>
              </w:rPr>
            </w:pPr>
            <w:r>
              <w:rPr>
                <w:rFonts w:hint="eastAsia" w:ascii="宋体" w:hAnsi="宋体" w:eastAsia="宋体" w:cs="宋体"/>
                <w:sz w:val="24"/>
                <w:highlight w:val="none"/>
              </w:rPr>
              <w:t>序号</w:t>
            </w:r>
          </w:p>
        </w:tc>
        <w:tc>
          <w:tcPr>
            <w:tcW w:w="1471" w:type="dxa"/>
            <w:shd w:val="clear" w:color="000000" w:fill="FFFFFF"/>
            <w:noWrap w:val="0"/>
            <w:tcMar>
              <w:left w:w="108" w:type="dxa"/>
              <w:right w:w="108" w:type="dxa"/>
            </w:tcMar>
            <w:vAlign w:val="center"/>
          </w:tcPr>
          <w:p w14:paraId="7B7C0DD4">
            <w:pPr>
              <w:keepNext w:val="0"/>
              <w:keepLines w:val="0"/>
              <w:pageBreakBefore w:val="0"/>
              <w:widowControl w:val="0"/>
              <w:kinsoku/>
              <w:wordWrap/>
              <w:overflowPunct/>
              <w:topLinePunct w:val="0"/>
              <w:bidi w:val="0"/>
              <w:adjustRightInd/>
              <w:snapToGrid/>
              <w:spacing w:line="400" w:lineRule="exact"/>
              <w:jc w:val="center"/>
              <w:textAlignment w:val="auto"/>
              <w:rPr>
                <w:rFonts w:hint="eastAsia" w:ascii="宋体" w:hAnsi="宋体" w:eastAsia="宋体" w:cs="宋体"/>
                <w:highlight w:val="none"/>
              </w:rPr>
            </w:pPr>
            <w:r>
              <w:rPr>
                <w:rFonts w:hint="eastAsia" w:ascii="宋体" w:hAnsi="宋体" w:eastAsia="宋体" w:cs="宋体"/>
                <w:sz w:val="24"/>
                <w:highlight w:val="none"/>
              </w:rPr>
              <w:t>评审因素</w:t>
            </w:r>
          </w:p>
        </w:tc>
        <w:tc>
          <w:tcPr>
            <w:tcW w:w="777" w:type="dxa"/>
            <w:shd w:val="clear" w:color="000000" w:fill="FFFFFF"/>
            <w:noWrap w:val="0"/>
            <w:tcMar>
              <w:left w:w="108" w:type="dxa"/>
              <w:right w:w="108" w:type="dxa"/>
            </w:tcMar>
            <w:vAlign w:val="center"/>
          </w:tcPr>
          <w:p w14:paraId="4398C2C3">
            <w:pPr>
              <w:keepNext w:val="0"/>
              <w:keepLines w:val="0"/>
              <w:pageBreakBefore w:val="0"/>
              <w:widowControl w:val="0"/>
              <w:kinsoku/>
              <w:wordWrap/>
              <w:overflowPunct/>
              <w:topLinePunct w:val="0"/>
              <w:bidi w:val="0"/>
              <w:adjustRightInd/>
              <w:snapToGrid/>
              <w:spacing w:line="400" w:lineRule="exact"/>
              <w:jc w:val="center"/>
              <w:textAlignment w:val="auto"/>
              <w:rPr>
                <w:rFonts w:hint="eastAsia" w:ascii="宋体" w:hAnsi="宋体" w:eastAsia="宋体" w:cs="宋体"/>
                <w:highlight w:val="none"/>
              </w:rPr>
            </w:pPr>
            <w:r>
              <w:rPr>
                <w:rFonts w:hint="eastAsia" w:ascii="宋体" w:hAnsi="宋体" w:eastAsia="宋体" w:cs="宋体"/>
                <w:sz w:val="24"/>
                <w:highlight w:val="none"/>
              </w:rPr>
              <w:t>权值</w:t>
            </w:r>
          </w:p>
        </w:tc>
        <w:tc>
          <w:tcPr>
            <w:tcW w:w="6649" w:type="dxa"/>
            <w:shd w:val="clear" w:color="000000" w:fill="FFFFFF"/>
            <w:noWrap w:val="0"/>
            <w:tcMar>
              <w:left w:w="108" w:type="dxa"/>
              <w:right w:w="108" w:type="dxa"/>
            </w:tcMar>
            <w:vAlign w:val="center"/>
          </w:tcPr>
          <w:p w14:paraId="2580808D">
            <w:pPr>
              <w:keepNext w:val="0"/>
              <w:keepLines w:val="0"/>
              <w:pageBreakBefore w:val="0"/>
              <w:widowControl w:val="0"/>
              <w:kinsoku/>
              <w:wordWrap/>
              <w:overflowPunct/>
              <w:topLinePunct w:val="0"/>
              <w:bidi w:val="0"/>
              <w:adjustRightInd/>
              <w:snapToGrid/>
              <w:spacing w:line="400" w:lineRule="exact"/>
              <w:jc w:val="center"/>
              <w:textAlignment w:val="auto"/>
              <w:rPr>
                <w:rFonts w:hint="eastAsia" w:ascii="宋体" w:hAnsi="宋体" w:eastAsia="宋体" w:cs="宋体"/>
                <w:highlight w:val="none"/>
              </w:rPr>
            </w:pPr>
            <w:r>
              <w:rPr>
                <w:rFonts w:hint="eastAsia" w:ascii="宋体" w:hAnsi="宋体" w:eastAsia="宋体" w:cs="宋体"/>
                <w:sz w:val="24"/>
                <w:highlight w:val="none"/>
              </w:rPr>
              <w:t>评分标准</w:t>
            </w:r>
          </w:p>
        </w:tc>
      </w:tr>
      <w:tr w14:paraId="76B33B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753" w:hRule="atLeast"/>
          <w:jc w:val="center"/>
        </w:trPr>
        <w:tc>
          <w:tcPr>
            <w:tcW w:w="835" w:type="dxa"/>
            <w:shd w:val="clear" w:color="000000" w:fill="FFFFFF"/>
            <w:noWrap w:val="0"/>
            <w:tcMar>
              <w:left w:w="108" w:type="dxa"/>
              <w:right w:w="108" w:type="dxa"/>
            </w:tcMar>
            <w:vAlign w:val="center"/>
          </w:tcPr>
          <w:p w14:paraId="2D794325">
            <w:pPr>
              <w:keepNext w:val="0"/>
              <w:keepLines w:val="0"/>
              <w:pageBreakBefore w:val="0"/>
              <w:widowControl w:val="0"/>
              <w:kinsoku/>
              <w:wordWrap/>
              <w:overflowPunct/>
              <w:topLinePunct w:val="0"/>
              <w:bidi w:val="0"/>
              <w:adjustRightInd/>
              <w:snapToGrid/>
              <w:spacing w:line="400" w:lineRule="exact"/>
              <w:jc w:val="center"/>
              <w:textAlignment w:val="auto"/>
              <w:rPr>
                <w:rFonts w:hint="eastAsia" w:ascii="宋体" w:hAnsi="宋体" w:eastAsia="宋体" w:cs="宋体"/>
                <w:highlight w:val="none"/>
              </w:rPr>
            </w:pPr>
            <w:r>
              <w:rPr>
                <w:rFonts w:hint="eastAsia" w:ascii="宋体" w:hAnsi="宋体" w:eastAsia="宋体" w:cs="宋体"/>
                <w:sz w:val="24"/>
                <w:highlight w:val="none"/>
              </w:rPr>
              <w:t>1</w:t>
            </w:r>
          </w:p>
        </w:tc>
        <w:tc>
          <w:tcPr>
            <w:tcW w:w="1471" w:type="dxa"/>
            <w:shd w:val="clear" w:color="000000" w:fill="FFFFFF"/>
            <w:noWrap w:val="0"/>
            <w:tcMar>
              <w:left w:w="108" w:type="dxa"/>
              <w:right w:w="108" w:type="dxa"/>
            </w:tcMar>
            <w:vAlign w:val="center"/>
          </w:tcPr>
          <w:p w14:paraId="400959CB">
            <w:pPr>
              <w:keepNext w:val="0"/>
              <w:keepLines w:val="0"/>
              <w:pageBreakBefore w:val="0"/>
              <w:widowControl w:val="0"/>
              <w:kinsoku/>
              <w:wordWrap/>
              <w:overflowPunct/>
              <w:topLinePunct w:val="0"/>
              <w:bidi w:val="0"/>
              <w:adjustRightInd/>
              <w:snapToGrid/>
              <w:spacing w:line="400" w:lineRule="exact"/>
              <w:jc w:val="center"/>
              <w:textAlignment w:val="auto"/>
              <w:rPr>
                <w:rFonts w:hint="eastAsia" w:ascii="宋体" w:hAnsi="宋体" w:eastAsia="宋体" w:cs="宋体"/>
                <w:sz w:val="24"/>
                <w:highlight w:val="none"/>
                <w:lang w:eastAsia="zh-CN"/>
              </w:rPr>
            </w:pPr>
            <w:r>
              <w:rPr>
                <w:rFonts w:hint="eastAsia" w:ascii="宋体" w:hAnsi="宋体" w:eastAsia="宋体" w:cs="宋体"/>
                <w:sz w:val="24"/>
                <w:highlight w:val="none"/>
                <w:lang w:val="en-US" w:eastAsia="zh-CN"/>
              </w:rPr>
              <w:t>人员配备</w:t>
            </w:r>
          </w:p>
        </w:tc>
        <w:tc>
          <w:tcPr>
            <w:tcW w:w="777" w:type="dxa"/>
            <w:shd w:val="clear" w:color="000000" w:fill="FFFFFF"/>
            <w:noWrap w:val="0"/>
            <w:tcMar>
              <w:left w:w="108" w:type="dxa"/>
              <w:right w:w="108" w:type="dxa"/>
            </w:tcMar>
            <w:vAlign w:val="center"/>
          </w:tcPr>
          <w:p w14:paraId="6CD7FEFE">
            <w:pPr>
              <w:keepNext w:val="0"/>
              <w:keepLines w:val="0"/>
              <w:pageBreakBefore w:val="0"/>
              <w:widowControl w:val="0"/>
              <w:kinsoku/>
              <w:wordWrap/>
              <w:overflowPunct/>
              <w:topLinePunct w:val="0"/>
              <w:bidi w:val="0"/>
              <w:adjustRightInd/>
              <w:snapToGrid/>
              <w:spacing w:line="400" w:lineRule="exact"/>
              <w:jc w:val="center"/>
              <w:textAlignment w:val="auto"/>
              <w:rPr>
                <w:rFonts w:hint="eastAsia" w:ascii="宋体" w:hAnsi="宋体" w:eastAsia="宋体" w:cs="宋体"/>
                <w:sz w:val="24"/>
                <w:highlight w:val="none"/>
              </w:rPr>
            </w:pPr>
            <w:r>
              <w:rPr>
                <w:rFonts w:hint="eastAsia" w:ascii="宋体" w:hAnsi="宋体" w:eastAsia="宋体" w:cs="宋体"/>
                <w:sz w:val="24"/>
                <w:highlight w:val="none"/>
                <w:lang w:val="en-US" w:eastAsia="zh-CN"/>
              </w:rPr>
              <w:t>9</w:t>
            </w:r>
            <w:r>
              <w:rPr>
                <w:rFonts w:hint="eastAsia" w:ascii="宋体" w:hAnsi="宋体" w:eastAsia="宋体" w:cs="宋体"/>
                <w:sz w:val="24"/>
                <w:highlight w:val="none"/>
              </w:rPr>
              <w:t>分</w:t>
            </w:r>
          </w:p>
        </w:tc>
        <w:tc>
          <w:tcPr>
            <w:tcW w:w="6649" w:type="dxa"/>
            <w:shd w:val="clear" w:color="000000" w:fill="FFFFFF"/>
            <w:noWrap w:val="0"/>
            <w:tcMar>
              <w:left w:w="108" w:type="dxa"/>
              <w:right w:w="108" w:type="dxa"/>
            </w:tcMar>
            <w:vAlign w:val="center"/>
          </w:tcPr>
          <w:p w14:paraId="4F9081FA">
            <w:pPr>
              <w:numPr>
                <w:ilvl w:val="0"/>
                <w:numId w:val="0"/>
              </w:numPr>
              <w:ind w:left="0" w:leftChars="0" w:firstLine="0" w:firstLineChars="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拟投入的</w:t>
            </w:r>
            <w:r>
              <w:rPr>
                <w:rFonts w:hint="eastAsia" w:ascii="宋体" w:hAnsi="宋体" w:eastAsia="宋体" w:cs="宋体"/>
                <w:color w:val="auto"/>
                <w:sz w:val="24"/>
                <w:szCs w:val="24"/>
                <w:highlight w:val="none"/>
                <w:lang w:val="en-US" w:eastAsia="zh-CN"/>
              </w:rPr>
              <w:t>食品安全人员</w:t>
            </w:r>
            <w:r>
              <w:rPr>
                <w:rFonts w:hint="eastAsia" w:ascii="宋体" w:hAnsi="宋体" w:eastAsia="宋体" w:cs="宋体"/>
                <w:color w:val="auto"/>
                <w:sz w:val="24"/>
                <w:szCs w:val="24"/>
                <w:highlight w:val="none"/>
              </w:rPr>
              <w:t>，每提供一个得</w:t>
            </w:r>
            <w:r>
              <w:rPr>
                <w:rFonts w:hint="eastAsia" w:ascii="宋体" w:hAnsi="宋体" w:eastAsia="宋体" w:cs="宋体"/>
                <w:color w:val="auto"/>
                <w:sz w:val="24"/>
                <w:szCs w:val="24"/>
                <w:highlight w:val="none"/>
                <w:lang w:val="en-US" w:eastAsia="zh-CN"/>
              </w:rPr>
              <w:t>1.5</w:t>
            </w:r>
            <w:r>
              <w:rPr>
                <w:rFonts w:hint="eastAsia" w:ascii="宋体" w:hAnsi="宋体" w:eastAsia="宋体" w:cs="宋体"/>
                <w:color w:val="auto"/>
                <w:sz w:val="24"/>
                <w:szCs w:val="24"/>
                <w:highlight w:val="none"/>
              </w:rPr>
              <w:t>分，最多得</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分</w:t>
            </w:r>
            <w:r>
              <w:rPr>
                <w:rFonts w:hint="eastAsia" w:ascii="宋体" w:hAnsi="宋体" w:eastAsia="宋体" w:cs="宋体"/>
                <w:color w:val="auto"/>
                <w:sz w:val="24"/>
                <w:szCs w:val="24"/>
                <w:highlight w:val="none"/>
                <w:lang w:val="en-US" w:eastAsia="zh-CN"/>
              </w:rPr>
              <w:t>。</w:t>
            </w:r>
          </w:p>
          <w:p w14:paraId="37E314B2">
            <w:pPr>
              <w:numPr>
                <w:ilvl w:val="0"/>
                <w:numId w:val="0"/>
              </w:numPr>
              <w:ind w:left="0" w:leftChars="0" w:firstLine="0" w:firstLineChars="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拟投入的食材检测（检验）人员，每提供一个得</w:t>
            </w:r>
            <w:r>
              <w:rPr>
                <w:rFonts w:hint="eastAsia" w:ascii="宋体" w:hAnsi="宋体" w:eastAsia="宋体" w:cs="宋体"/>
                <w:color w:val="auto"/>
                <w:sz w:val="24"/>
                <w:szCs w:val="24"/>
                <w:highlight w:val="none"/>
                <w:lang w:val="en-US" w:eastAsia="zh-CN"/>
              </w:rPr>
              <w:t>1.5</w:t>
            </w:r>
            <w:r>
              <w:rPr>
                <w:rFonts w:hint="eastAsia" w:ascii="宋体" w:hAnsi="宋体" w:eastAsia="宋体" w:cs="宋体"/>
                <w:color w:val="auto"/>
                <w:sz w:val="24"/>
                <w:szCs w:val="24"/>
                <w:highlight w:val="none"/>
              </w:rPr>
              <w:t>分，最多得</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分。</w:t>
            </w:r>
          </w:p>
          <w:p w14:paraId="7961EE42">
            <w:pPr>
              <w:numPr>
                <w:ilvl w:val="0"/>
                <w:numId w:val="0"/>
              </w:numPr>
              <w:ind w:left="0" w:leftChars="0" w:firstLine="0" w:firstLineChars="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拟投入的</w:t>
            </w:r>
            <w:r>
              <w:rPr>
                <w:rFonts w:hint="eastAsia" w:ascii="宋体" w:hAnsi="宋体" w:eastAsia="宋体" w:cs="宋体"/>
                <w:color w:val="auto"/>
                <w:sz w:val="24"/>
                <w:szCs w:val="24"/>
                <w:highlight w:val="none"/>
                <w:lang w:val="en-US" w:eastAsia="zh-CN"/>
              </w:rPr>
              <w:t>专职配送员</w:t>
            </w:r>
            <w:r>
              <w:rPr>
                <w:rFonts w:hint="eastAsia" w:ascii="宋体" w:hAnsi="宋体" w:eastAsia="宋体" w:cs="宋体"/>
                <w:color w:val="auto"/>
                <w:sz w:val="24"/>
                <w:szCs w:val="24"/>
                <w:highlight w:val="none"/>
              </w:rPr>
              <w:t>，每提供一个得</w:t>
            </w:r>
            <w:r>
              <w:rPr>
                <w:rFonts w:hint="eastAsia" w:ascii="宋体" w:hAnsi="宋体" w:eastAsia="宋体" w:cs="宋体"/>
                <w:color w:val="auto"/>
                <w:sz w:val="24"/>
                <w:szCs w:val="24"/>
                <w:highlight w:val="none"/>
                <w:lang w:val="en-US" w:eastAsia="zh-CN"/>
              </w:rPr>
              <w:t>1.5</w:t>
            </w:r>
            <w:r>
              <w:rPr>
                <w:rFonts w:hint="eastAsia" w:ascii="宋体" w:hAnsi="宋体" w:eastAsia="宋体" w:cs="宋体"/>
                <w:color w:val="auto"/>
                <w:sz w:val="24"/>
                <w:szCs w:val="24"/>
                <w:highlight w:val="none"/>
              </w:rPr>
              <w:t>分，最多得</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分。</w:t>
            </w:r>
          </w:p>
          <w:p w14:paraId="699C935E">
            <w:pPr>
              <w:numPr>
                <w:ilvl w:val="0"/>
                <w:numId w:val="0"/>
              </w:numPr>
              <w:ind w:left="0" w:leftChars="0" w:firstLine="0" w:firstLineChars="0"/>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注：</w:t>
            </w:r>
            <w:r>
              <w:rPr>
                <w:rFonts w:hint="eastAsia" w:ascii="宋体" w:hAnsi="宋体" w:eastAsia="宋体" w:cs="宋体"/>
                <w:b/>
                <w:bCs/>
                <w:color w:val="auto"/>
                <w:sz w:val="24"/>
                <w:szCs w:val="24"/>
                <w:highlight w:val="none"/>
                <w:lang w:val="en-US" w:eastAsia="zh-CN"/>
              </w:rPr>
              <w:t>①</w:t>
            </w:r>
            <w:r>
              <w:rPr>
                <w:rFonts w:hint="eastAsia" w:ascii="宋体" w:hAnsi="宋体" w:eastAsia="宋体" w:cs="宋体"/>
                <w:b/>
                <w:bCs/>
                <w:color w:val="auto"/>
                <w:sz w:val="24"/>
                <w:szCs w:val="24"/>
                <w:highlight w:val="none"/>
              </w:rPr>
              <w:t>同一人员不重复计分</w:t>
            </w:r>
            <w:r>
              <w:rPr>
                <w:rFonts w:hint="eastAsia" w:ascii="宋体" w:hAnsi="宋体" w:eastAsia="宋体" w:cs="宋体"/>
                <w:b/>
                <w:bCs/>
                <w:color w:val="auto"/>
                <w:sz w:val="24"/>
                <w:szCs w:val="24"/>
                <w:highlight w:val="none"/>
                <w:lang w:eastAsia="zh-CN"/>
              </w:rPr>
              <w:t>；</w:t>
            </w:r>
            <w:r>
              <w:rPr>
                <w:rFonts w:hint="eastAsia" w:ascii="宋体" w:hAnsi="宋体" w:eastAsia="宋体" w:cs="宋体"/>
                <w:b/>
                <w:bCs/>
                <w:color w:val="auto"/>
                <w:sz w:val="24"/>
                <w:szCs w:val="24"/>
                <w:highlight w:val="none"/>
                <w:lang w:val="en-US" w:eastAsia="zh-CN"/>
              </w:rPr>
              <w:t>②</w:t>
            </w:r>
            <w:r>
              <w:rPr>
                <w:rFonts w:hint="eastAsia" w:ascii="宋体" w:hAnsi="宋体" w:eastAsia="宋体" w:cs="宋体"/>
                <w:b/>
                <w:bCs/>
                <w:color w:val="auto"/>
                <w:sz w:val="24"/>
                <w:szCs w:val="24"/>
                <w:highlight w:val="none"/>
              </w:rPr>
              <w:t>相关人员在</w:t>
            </w:r>
            <w:r>
              <w:rPr>
                <w:rFonts w:hint="eastAsia" w:ascii="宋体" w:hAnsi="宋体" w:eastAsia="宋体" w:cs="宋体"/>
                <w:b/>
                <w:bCs/>
                <w:color w:val="auto"/>
                <w:sz w:val="24"/>
                <w:szCs w:val="24"/>
                <w:highlight w:val="none"/>
                <w:lang w:val="en-US" w:eastAsia="zh-CN"/>
              </w:rPr>
              <w:t>项目组人员一览表中</w:t>
            </w:r>
            <w:r>
              <w:rPr>
                <w:rFonts w:hint="eastAsia" w:ascii="宋体" w:hAnsi="宋体" w:eastAsia="宋体" w:cs="宋体"/>
                <w:b/>
                <w:bCs/>
                <w:color w:val="auto"/>
                <w:sz w:val="24"/>
                <w:szCs w:val="24"/>
                <w:highlight w:val="none"/>
              </w:rPr>
              <w:t>明确。</w:t>
            </w:r>
            <w:r>
              <w:rPr>
                <w:rFonts w:hint="eastAsia" w:ascii="宋体" w:hAnsi="宋体" w:eastAsia="宋体" w:cs="宋体"/>
                <w:b/>
                <w:bCs/>
                <w:color w:val="auto"/>
                <w:sz w:val="24"/>
                <w:szCs w:val="24"/>
                <w:highlight w:val="none"/>
                <w:lang w:val="en-US" w:eastAsia="zh-CN"/>
              </w:rPr>
              <w:t>投标</w:t>
            </w:r>
            <w:r>
              <w:rPr>
                <w:rFonts w:hint="eastAsia" w:ascii="宋体" w:hAnsi="宋体" w:eastAsia="宋体" w:cs="宋体"/>
                <w:b/>
                <w:bCs/>
                <w:color w:val="auto"/>
                <w:sz w:val="24"/>
                <w:szCs w:val="24"/>
                <w:highlight w:val="none"/>
              </w:rPr>
              <w:t>文件中需同时提供</w:t>
            </w:r>
            <w:r>
              <w:rPr>
                <w:rFonts w:hint="eastAsia" w:ascii="宋体" w:hAnsi="宋体" w:eastAsia="宋体" w:cs="宋体"/>
                <w:b/>
                <w:bCs/>
                <w:color w:val="auto"/>
                <w:sz w:val="24"/>
                <w:szCs w:val="24"/>
                <w:highlight w:val="none"/>
                <w:lang w:val="en-US" w:eastAsia="zh-CN"/>
              </w:rPr>
              <w:t>投标人</w:t>
            </w:r>
            <w:r>
              <w:rPr>
                <w:rFonts w:hint="eastAsia" w:ascii="宋体" w:hAnsi="宋体" w:eastAsia="宋体" w:cs="宋体"/>
                <w:b/>
                <w:bCs/>
                <w:color w:val="auto"/>
                <w:sz w:val="24"/>
                <w:szCs w:val="24"/>
                <w:highlight w:val="none"/>
              </w:rPr>
              <w:t>为该人员缴纳社会保险（近三个月内任意一个月）的证明材料扫描件，未按要求提供的不得分。</w:t>
            </w:r>
          </w:p>
        </w:tc>
      </w:tr>
    </w:tbl>
    <w:p w14:paraId="3E425E34">
      <w:pPr>
        <w:spacing w:line="440" w:lineRule="exact"/>
        <w:ind w:firstLine="241" w:firstLineChars="100"/>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4、综合实力</w:t>
      </w:r>
      <w:r>
        <w:rPr>
          <w:rFonts w:hint="eastAsia" w:ascii="宋体" w:hAnsi="宋体" w:eastAsia="宋体" w:cs="宋体"/>
          <w:b/>
          <w:color w:val="auto"/>
          <w:sz w:val="24"/>
          <w:szCs w:val="24"/>
          <w:highlight w:val="none"/>
          <w:lang w:val="en-US" w:eastAsia="zh-CN"/>
        </w:rPr>
        <w:t>18</w:t>
      </w:r>
      <w:r>
        <w:rPr>
          <w:rFonts w:hint="eastAsia" w:ascii="宋体" w:hAnsi="宋体" w:eastAsia="宋体" w:cs="宋体"/>
          <w:b/>
          <w:color w:val="auto"/>
          <w:sz w:val="24"/>
          <w:szCs w:val="24"/>
          <w:highlight w:val="none"/>
        </w:rPr>
        <w:t>分</w:t>
      </w:r>
    </w:p>
    <w:tbl>
      <w:tblPr>
        <w:tblStyle w:val="54"/>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 w:type="dxa"/>
          <w:bottom w:w="0" w:type="dxa"/>
          <w:right w:w="10" w:type="dxa"/>
        </w:tblCellMar>
      </w:tblPr>
      <w:tblGrid>
        <w:gridCol w:w="835"/>
        <w:gridCol w:w="1471"/>
        <w:gridCol w:w="777"/>
        <w:gridCol w:w="6649"/>
      </w:tblGrid>
      <w:tr w14:paraId="7B3B06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312" w:hRule="atLeast"/>
          <w:jc w:val="center"/>
        </w:trPr>
        <w:tc>
          <w:tcPr>
            <w:tcW w:w="835" w:type="dxa"/>
            <w:shd w:val="clear" w:color="000000" w:fill="FFFFFF"/>
            <w:noWrap w:val="0"/>
            <w:tcMar>
              <w:left w:w="108" w:type="dxa"/>
              <w:right w:w="108" w:type="dxa"/>
            </w:tcMar>
            <w:vAlign w:val="center"/>
          </w:tcPr>
          <w:p w14:paraId="36B21BBA">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序号</w:t>
            </w:r>
          </w:p>
        </w:tc>
        <w:tc>
          <w:tcPr>
            <w:tcW w:w="1471" w:type="dxa"/>
            <w:shd w:val="clear" w:color="000000" w:fill="FFFFFF"/>
            <w:noWrap w:val="0"/>
            <w:tcMar>
              <w:left w:w="108" w:type="dxa"/>
              <w:right w:w="108" w:type="dxa"/>
            </w:tcMar>
            <w:vAlign w:val="center"/>
          </w:tcPr>
          <w:p w14:paraId="15C8EC47">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评审因素</w:t>
            </w:r>
          </w:p>
        </w:tc>
        <w:tc>
          <w:tcPr>
            <w:tcW w:w="777" w:type="dxa"/>
            <w:shd w:val="clear" w:color="000000" w:fill="FFFFFF"/>
            <w:noWrap w:val="0"/>
            <w:tcMar>
              <w:left w:w="108" w:type="dxa"/>
              <w:right w:w="108" w:type="dxa"/>
            </w:tcMar>
            <w:vAlign w:val="center"/>
          </w:tcPr>
          <w:p w14:paraId="29719927">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权值</w:t>
            </w:r>
          </w:p>
        </w:tc>
        <w:tc>
          <w:tcPr>
            <w:tcW w:w="6649" w:type="dxa"/>
            <w:shd w:val="clear" w:color="000000" w:fill="FFFFFF"/>
            <w:noWrap w:val="0"/>
            <w:tcMar>
              <w:left w:w="108" w:type="dxa"/>
              <w:right w:w="108" w:type="dxa"/>
            </w:tcMar>
            <w:vAlign w:val="center"/>
          </w:tcPr>
          <w:p w14:paraId="5E48BC32">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评分标准</w:t>
            </w:r>
          </w:p>
        </w:tc>
      </w:tr>
      <w:tr w14:paraId="09BB81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841" w:hRule="atLeast"/>
          <w:jc w:val="center"/>
        </w:trPr>
        <w:tc>
          <w:tcPr>
            <w:tcW w:w="835" w:type="dxa"/>
            <w:shd w:val="clear" w:color="000000" w:fill="FFFFFF"/>
            <w:noWrap w:val="0"/>
            <w:tcMar>
              <w:left w:w="108" w:type="dxa"/>
              <w:right w:w="108" w:type="dxa"/>
            </w:tcMar>
            <w:vAlign w:val="center"/>
          </w:tcPr>
          <w:p w14:paraId="6227F0F1">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1</w:t>
            </w:r>
          </w:p>
        </w:tc>
        <w:tc>
          <w:tcPr>
            <w:tcW w:w="1471" w:type="dxa"/>
            <w:shd w:val="clear" w:color="000000" w:fill="FFFFFF"/>
            <w:noWrap w:val="0"/>
            <w:tcMar>
              <w:left w:w="108" w:type="dxa"/>
              <w:right w:w="108" w:type="dxa"/>
            </w:tcMar>
            <w:vAlign w:val="center"/>
          </w:tcPr>
          <w:p w14:paraId="1873E26A">
            <w:pPr>
              <w:keepNext w:val="0"/>
              <w:keepLines w:val="0"/>
              <w:pageBreakBefore w:val="0"/>
              <w:widowControl w:val="0"/>
              <w:suppressAutoHyphens/>
              <w:kinsoku/>
              <w:wordWrap/>
              <w:overflowPunct/>
              <w:topLinePunct w:val="0"/>
              <w:autoSpaceDE/>
              <w:autoSpaceDN/>
              <w:bidi w:val="0"/>
              <w:adjustRightInd/>
              <w:snapToGrid/>
              <w:spacing w:line="400" w:lineRule="exact"/>
              <w:jc w:val="center"/>
              <w:textAlignment w:val="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商务条件响应性</w:t>
            </w:r>
          </w:p>
        </w:tc>
        <w:tc>
          <w:tcPr>
            <w:tcW w:w="777" w:type="dxa"/>
            <w:shd w:val="clear" w:color="000000" w:fill="FFFFFF"/>
            <w:noWrap w:val="0"/>
            <w:tcMar>
              <w:left w:w="108" w:type="dxa"/>
              <w:right w:w="108" w:type="dxa"/>
            </w:tcMar>
            <w:vAlign w:val="center"/>
          </w:tcPr>
          <w:p w14:paraId="4D3983E7">
            <w:pPr>
              <w:keepNext w:val="0"/>
              <w:keepLines w:val="0"/>
              <w:pageBreakBefore w:val="0"/>
              <w:widowControl w:val="0"/>
              <w:suppressAutoHyphens/>
              <w:kinsoku/>
              <w:wordWrap/>
              <w:overflowPunct/>
              <w:topLinePunct w:val="0"/>
              <w:autoSpaceDE/>
              <w:autoSpaceDN/>
              <w:bidi w:val="0"/>
              <w:adjustRightInd/>
              <w:snapToGrid/>
              <w:spacing w:line="400" w:lineRule="exact"/>
              <w:jc w:val="center"/>
              <w:textAlignment w:val="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10</w:t>
            </w:r>
            <w:r>
              <w:rPr>
                <w:rFonts w:hint="eastAsia" w:ascii="宋体" w:hAnsi="宋体" w:eastAsia="宋体" w:cs="宋体"/>
                <w:color w:val="000000" w:themeColor="text1"/>
                <w:sz w:val="24"/>
                <w:szCs w:val="24"/>
                <w:highlight w:val="none"/>
                <w14:textFill>
                  <w14:solidFill>
                    <w14:schemeClr w14:val="tx1"/>
                  </w14:solidFill>
                </w14:textFill>
              </w:rPr>
              <w:t>分</w:t>
            </w:r>
          </w:p>
        </w:tc>
        <w:tc>
          <w:tcPr>
            <w:tcW w:w="6649" w:type="dxa"/>
            <w:shd w:val="clear" w:color="000000" w:fill="FFFFFF"/>
            <w:noWrap w:val="0"/>
            <w:tcMar>
              <w:left w:w="108" w:type="dxa"/>
              <w:right w:w="108" w:type="dxa"/>
            </w:tcMar>
            <w:vAlign w:val="center"/>
          </w:tcPr>
          <w:p w14:paraId="325CFBD5">
            <w:pPr>
              <w:numPr>
                <w:ilvl w:val="0"/>
                <w:numId w:val="0"/>
              </w:numPr>
              <w:ind w:left="0" w:leftChars="0" w:firstLine="0" w:firstLineChars="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投标人对招标文件中合同条款等商务条件完全响应的得</w:t>
            </w:r>
            <w:r>
              <w:rPr>
                <w:rFonts w:hint="eastAsia" w:ascii="宋体" w:hAnsi="宋体" w:eastAsia="宋体" w:cs="宋体"/>
                <w:color w:val="auto"/>
                <w:sz w:val="24"/>
                <w:szCs w:val="24"/>
                <w:highlight w:val="none"/>
                <w:lang w:val="en-US" w:eastAsia="zh-CN"/>
              </w:rPr>
              <w:t>10</w:t>
            </w:r>
            <w:r>
              <w:rPr>
                <w:rFonts w:hint="eastAsia" w:ascii="宋体" w:hAnsi="宋体" w:eastAsia="宋体" w:cs="宋体"/>
                <w:color w:val="auto"/>
                <w:sz w:val="24"/>
                <w:szCs w:val="24"/>
                <w:highlight w:val="none"/>
              </w:rPr>
              <w:t>分（共</w:t>
            </w:r>
            <w:r>
              <w:rPr>
                <w:rFonts w:hint="eastAsia" w:ascii="宋体" w:hAnsi="宋体" w:eastAsia="宋体" w:cs="宋体"/>
                <w:color w:val="auto"/>
                <w:sz w:val="24"/>
                <w:szCs w:val="24"/>
                <w:highlight w:val="none"/>
                <w:lang w:val="en-US" w:eastAsia="zh-CN"/>
              </w:rPr>
              <w:t>25</w:t>
            </w:r>
            <w:r>
              <w:rPr>
                <w:rFonts w:hint="eastAsia" w:ascii="宋体" w:hAnsi="宋体" w:eastAsia="宋体" w:cs="宋体"/>
                <w:color w:val="auto"/>
                <w:sz w:val="24"/>
                <w:szCs w:val="24"/>
                <w:highlight w:val="none"/>
              </w:rPr>
              <w:t>条）；有负偏离条款，每项扣0.</w:t>
            </w: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rPr>
              <w:t>分</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w:t>
            </w:r>
            <w:r>
              <w:rPr>
                <w:rFonts w:hint="eastAsia" w:ascii="宋体" w:hAnsi="宋体" w:eastAsia="宋体" w:cs="宋体"/>
                <w:b/>
                <w:bCs/>
                <w:color w:val="auto"/>
                <w:sz w:val="24"/>
                <w:szCs w:val="24"/>
                <w:highlight w:val="none"/>
              </w:rPr>
              <w:t>付款方式必须完全响应，否则将作</w:t>
            </w:r>
            <w:r>
              <w:rPr>
                <w:rFonts w:hint="eastAsia" w:ascii="宋体" w:hAnsi="宋体" w:eastAsia="宋体" w:cs="宋体"/>
                <w:b/>
                <w:bCs/>
                <w:color w:val="auto"/>
                <w:sz w:val="24"/>
                <w:szCs w:val="24"/>
                <w:highlight w:val="none"/>
                <w:lang w:val="zh-CN"/>
              </w:rPr>
              <w:t>无效投标处理</w:t>
            </w:r>
            <w:r>
              <w:rPr>
                <w:rFonts w:hint="eastAsia" w:ascii="宋体" w:hAnsi="宋体" w:eastAsia="宋体" w:cs="宋体"/>
                <w:b/>
                <w:bCs/>
                <w:color w:val="auto"/>
                <w:sz w:val="24"/>
                <w:szCs w:val="24"/>
                <w:highlight w:val="none"/>
              </w:rPr>
              <w:t>）</w:t>
            </w:r>
          </w:p>
        </w:tc>
      </w:tr>
      <w:tr w14:paraId="7DE880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1664" w:hRule="atLeast"/>
          <w:jc w:val="center"/>
        </w:trPr>
        <w:tc>
          <w:tcPr>
            <w:tcW w:w="835" w:type="dxa"/>
            <w:shd w:val="clear" w:color="000000" w:fill="FFFFFF"/>
            <w:noWrap w:val="0"/>
            <w:tcMar>
              <w:left w:w="108" w:type="dxa"/>
              <w:right w:w="108" w:type="dxa"/>
            </w:tcMar>
            <w:vAlign w:val="center"/>
          </w:tcPr>
          <w:p w14:paraId="5D9CD17A">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2</w:t>
            </w:r>
          </w:p>
        </w:tc>
        <w:tc>
          <w:tcPr>
            <w:tcW w:w="1471" w:type="dxa"/>
            <w:shd w:val="clear" w:color="000000" w:fill="FFFFFF"/>
            <w:noWrap w:val="0"/>
            <w:tcMar>
              <w:left w:w="108" w:type="dxa"/>
              <w:right w:w="108" w:type="dxa"/>
            </w:tcMar>
            <w:vAlign w:val="center"/>
          </w:tcPr>
          <w:p w14:paraId="3C89DD7D">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业绩情况</w:t>
            </w:r>
          </w:p>
        </w:tc>
        <w:tc>
          <w:tcPr>
            <w:tcW w:w="777" w:type="dxa"/>
            <w:shd w:val="clear" w:color="000000" w:fill="FFFFFF"/>
            <w:noWrap w:val="0"/>
            <w:tcMar>
              <w:left w:w="108" w:type="dxa"/>
              <w:right w:w="108" w:type="dxa"/>
            </w:tcMar>
            <w:vAlign w:val="center"/>
          </w:tcPr>
          <w:p w14:paraId="1D6687E0">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lang w:val="en-US" w:eastAsia="zh-CN"/>
                <w14:textFill>
                  <w14:solidFill>
                    <w14:schemeClr w14:val="tx1"/>
                  </w14:solidFill>
                </w14:textFill>
              </w:rPr>
              <w:t>8</w:t>
            </w:r>
            <w:r>
              <w:rPr>
                <w:rFonts w:hint="eastAsia" w:ascii="宋体" w:hAnsi="宋体" w:eastAsia="宋体" w:cs="宋体"/>
                <w:color w:val="000000" w:themeColor="text1"/>
                <w:sz w:val="24"/>
                <w:highlight w:val="none"/>
                <w14:textFill>
                  <w14:solidFill>
                    <w14:schemeClr w14:val="tx1"/>
                  </w14:solidFill>
                </w14:textFill>
              </w:rPr>
              <w:t>分</w:t>
            </w:r>
          </w:p>
        </w:tc>
        <w:tc>
          <w:tcPr>
            <w:tcW w:w="6649" w:type="dxa"/>
            <w:shd w:val="clear" w:color="000000" w:fill="FFFFFF"/>
            <w:noWrap w:val="0"/>
            <w:tcMar>
              <w:left w:w="108" w:type="dxa"/>
              <w:right w:w="108" w:type="dxa"/>
            </w:tcMar>
            <w:vAlign w:val="center"/>
          </w:tcPr>
          <w:p w14:paraId="0BFE86F8">
            <w:pPr>
              <w:numPr>
                <w:ilvl w:val="0"/>
                <w:numId w:val="0"/>
              </w:numPr>
              <w:ind w:left="0" w:leftChars="0" w:firstLine="0" w:firstLineChars="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根据投标人自20</w:t>
            </w:r>
            <w:r>
              <w:rPr>
                <w:rFonts w:hint="eastAsia" w:ascii="宋体" w:hAnsi="宋体" w:eastAsia="宋体" w:cs="宋体"/>
                <w:color w:val="auto"/>
                <w:sz w:val="24"/>
                <w:szCs w:val="24"/>
                <w:highlight w:val="none"/>
                <w:lang w:val="en-US" w:eastAsia="zh-CN"/>
              </w:rPr>
              <w:t>23</w:t>
            </w:r>
            <w:r>
              <w:rPr>
                <w:rFonts w:hint="eastAsia" w:ascii="宋体" w:hAnsi="宋体" w:eastAsia="宋体" w:cs="宋体"/>
                <w:color w:val="auto"/>
                <w:sz w:val="24"/>
                <w:szCs w:val="24"/>
                <w:highlight w:val="none"/>
              </w:rPr>
              <w:t>年1月1日至今（以合同签订日期为准）完成的食堂餐饮服务</w:t>
            </w:r>
            <w:r>
              <w:rPr>
                <w:rFonts w:hint="eastAsia" w:ascii="宋体" w:hAnsi="宋体" w:eastAsia="宋体" w:cs="宋体"/>
                <w:color w:val="auto"/>
                <w:sz w:val="24"/>
                <w:szCs w:val="24"/>
                <w:highlight w:val="none"/>
                <w:lang w:val="en-US" w:eastAsia="zh-CN"/>
              </w:rPr>
              <w:t>或</w:t>
            </w:r>
            <w:r>
              <w:rPr>
                <w:rFonts w:hint="eastAsia" w:ascii="宋体" w:hAnsi="宋体" w:eastAsia="宋体" w:cs="宋体"/>
                <w:color w:val="auto"/>
                <w:sz w:val="24"/>
                <w:szCs w:val="24"/>
                <w:highlight w:val="none"/>
              </w:rPr>
              <w:t>食堂用工服务项目业绩</w:t>
            </w:r>
            <w:r>
              <w:rPr>
                <w:rFonts w:hint="eastAsia" w:ascii="宋体" w:hAnsi="宋体" w:eastAsia="宋体" w:cs="宋体"/>
                <w:color w:val="auto"/>
                <w:sz w:val="24"/>
                <w:szCs w:val="24"/>
                <w:highlight w:val="none"/>
                <w:lang w:val="en-US" w:eastAsia="zh-CN"/>
              </w:rPr>
              <w:t>情况</w:t>
            </w:r>
            <w:r>
              <w:rPr>
                <w:rFonts w:hint="eastAsia" w:ascii="宋体" w:hAnsi="宋体" w:eastAsia="宋体" w:cs="宋体"/>
                <w:color w:val="auto"/>
                <w:sz w:val="24"/>
                <w:szCs w:val="24"/>
                <w:highlight w:val="none"/>
              </w:rPr>
              <w:t>进行评定，有一个得</w:t>
            </w: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分，最高得</w:t>
            </w:r>
            <w:r>
              <w:rPr>
                <w:rFonts w:hint="eastAsia" w:ascii="宋体" w:hAnsi="宋体" w:eastAsia="宋体" w:cs="宋体"/>
                <w:color w:val="auto"/>
                <w:sz w:val="24"/>
                <w:szCs w:val="24"/>
                <w:highlight w:val="none"/>
                <w:lang w:val="en-US" w:eastAsia="zh-CN"/>
              </w:rPr>
              <w:t>8</w:t>
            </w:r>
            <w:r>
              <w:rPr>
                <w:rFonts w:hint="eastAsia" w:ascii="宋体" w:hAnsi="宋体" w:eastAsia="宋体" w:cs="宋体"/>
                <w:color w:val="auto"/>
                <w:sz w:val="24"/>
                <w:szCs w:val="24"/>
                <w:highlight w:val="none"/>
              </w:rPr>
              <w:t>分。没有的不得分。</w:t>
            </w:r>
          </w:p>
          <w:p w14:paraId="6D97A0FE">
            <w:pPr>
              <w:numPr>
                <w:ilvl w:val="0"/>
                <w:numId w:val="0"/>
              </w:numPr>
              <w:ind w:left="0" w:leftChars="0" w:firstLine="0" w:firstLineChars="0"/>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注：①投标文件中需提供相关业绩合同证明材料（须至少包括合同首页、具体内容页、合同金额所在页、签字盖章页），未提供或提供不全或提供的证明材料无法佐证的不得分。②单个合同连续年度按一个业绩计算。</w:t>
            </w:r>
          </w:p>
        </w:tc>
      </w:tr>
    </w:tbl>
    <w:p w14:paraId="24C82B3D">
      <w:pPr>
        <w:spacing w:line="44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注：（1）上述投标文件中提供的相关证明材料需为清晰完整的彩色扫描件（照片），如存在扫描件（照片）无效、不清晰、不完整等情形使得评委会无法准确评审的，相关评审风险由投标人自行承担。</w:t>
      </w:r>
    </w:p>
    <w:p w14:paraId="2A7F3BA1">
      <w:pPr>
        <w:spacing w:line="440" w:lineRule="exact"/>
        <w:ind w:firstLine="482" w:firstLineChars="200"/>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（2）投标人在制作投标文件时请按投标文件规定的顺序编制，要求简洁、明了，并添加投标文件目录、页码、书签，便于评标委员会评审查阅。</w:t>
      </w:r>
    </w:p>
    <w:p w14:paraId="4F3D5731">
      <w:pPr>
        <w:spacing w:line="440" w:lineRule="exact"/>
        <w:rPr>
          <w:rFonts w:hint="eastAsia" w:ascii="宋体" w:hAnsi="宋体" w:eastAsia="宋体" w:cs="宋体"/>
          <w:b/>
          <w:bCs/>
          <w:color w:val="auto"/>
          <w:sz w:val="28"/>
          <w:highlight w:val="none"/>
        </w:rPr>
      </w:pPr>
      <w:r>
        <w:rPr>
          <w:rFonts w:hint="eastAsia" w:ascii="宋体" w:hAnsi="宋体" w:eastAsia="宋体" w:cs="宋体"/>
          <w:b/>
          <w:bCs/>
          <w:color w:val="auto"/>
          <w:sz w:val="28"/>
          <w:highlight w:val="none"/>
        </w:rPr>
        <w:t>三、政府采购政策：</w:t>
      </w:r>
      <w:bookmarkEnd w:id="285"/>
    </w:p>
    <w:p w14:paraId="2D203D20">
      <w:pPr>
        <w:spacing w:line="440" w:lineRule="exact"/>
        <w:ind w:firstLine="482" w:firstLineChars="200"/>
        <w:rPr>
          <w:rFonts w:hint="eastAsia" w:ascii="宋体" w:hAnsi="宋体" w:eastAsia="宋体" w:cs="宋体"/>
          <w:b/>
          <w:bCs/>
          <w:color w:val="auto"/>
          <w:sz w:val="24"/>
          <w:szCs w:val="24"/>
          <w:highlight w:val="none"/>
        </w:rPr>
      </w:pPr>
      <w:bookmarkStart w:id="286" w:name="_Toc22323"/>
      <w:r>
        <w:rPr>
          <w:rFonts w:hint="eastAsia" w:ascii="宋体" w:hAnsi="宋体" w:eastAsia="宋体" w:cs="宋体"/>
          <w:b/>
          <w:bCs/>
          <w:color w:val="auto"/>
          <w:sz w:val="24"/>
          <w:szCs w:val="24"/>
          <w:highlight w:val="none"/>
        </w:rPr>
        <w:t>1、落实政府采购政策需满足的资格要求：</w:t>
      </w:r>
    </w:p>
    <w:p w14:paraId="1C1EE2D3">
      <w:pPr>
        <w:spacing w:line="440" w:lineRule="exact"/>
        <w:ind w:firstLine="482" w:firstLineChars="200"/>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（1）本项目专门面向中小企业采购，所属行业为</w:t>
      </w:r>
      <w:r>
        <w:rPr>
          <w:rFonts w:hint="eastAsia" w:ascii="宋体" w:hAnsi="宋体" w:eastAsia="宋体" w:cs="宋体"/>
          <w:b/>
          <w:bCs/>
          <w:color w:val="auto"/>
          <w:sz w:val="24"/>
          <w:szCs w:val="24"/>
          <w:highlight w:val="none"/>
          <w:lang w:eastAsia="zh-CN"/>
        </w:rPr>
        <w:t>餐饮业</w:t>
      </w:r>
      <w:r>
        <w:rPr>
          <w:rFonts w:hint="eastAsia" w:ascii="宋体" w:hAnsi="宋体" w:eastAsia="宋体" w:cs="宋体"/>
          <w:b/>
          <w:bCs/>
          <w:color w:val="auto"/>
          <w:sz w:val="24"/>
          <w:szCs w:val="24"/>
          <w:highlight w:val="none"/>
        </w:rPr>
        <w:t>。</w:t>
      </w:r>
    </w:p>
    <w:p w14:paraId="02DC6AAE">
      <w:pPr>
        <w:spacing w:line="44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（2）在投标文件中须提供《中小企业声明函》。（填报严格按工信部联企业〔2011〕300号通知中的《中小企业划型标准规定》进行）。</w:t>
      </w:r>
    </w:p>
    <w:p w14:paraId="47E0E574">
      <w:pPr>
        <w:spacing w:line="44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对残疾人福利性单位、监狱企业视同小型、微型企业，残疾人福利性单位需提供《残疾人福利性单位声明函》；监狱企业需提供由省级以上监狱管理局、戒毒管理局（含新疆生产建设兵团）出具的属于监狱企业的证明文件。</w:t>
      </w:r>
    </w:p>
    <w:p w14:paraId="58F588D5">
      <w:pPr>
        <w:spacing w:line="44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（4）享受政府采购支持政策的残疾人福利性单位应当同时满足以下条件：</w:t>
      </w:r>
    </w:p>
    <w:p w14:paraId="3DBCC7C2">
      <w:pPr>
        <w:spacing w:line="44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安置的残疾人占本单位在职职工人数的比例不低于25%（含25%），并且安置的残疾人人数不少于10人（含10人）；依法与安置的每位残疾人签订了一年以上（含一年）的劳动合同或服务协议；</w:t>
      </w:r>
    </w:p>
    <w:p w14:paraId="6AFD3CCD">
      <w:pPr>
        <w:spacing w:line="44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为安置的每位残疾人按月足额缴纳了基本养老保险、基本医疗保险、失业保险、工伤保险和生育保险等社会保险费；通过银行等金融机构向安置的每位残疾人，按月支付了不低于单位所在区县适用的经省级人民政府批准的月最低工资标准的工资；</w:t>
      </w:r>
    </w:p>
    <w:p w14:paraId="3323808A">
      <w:pPr>
        <w:spacing w:line="44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提供本单位制造的货物、承担的工程或者服务，或者提供其他残疾人福利性单位制造的货物（不包括使用非残疾人福利性单位注册商标的货物）。</w:t>
      </w:r>
    </w:p>
    <w:p w14:paraId="5C19BE48">
      <w:pPr>
        <w:spacing w:line="44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p>
    <w:p w14:paraId="5AC3650F">
      <w:pPr>
        <w:spacing w:line="44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中标、中标人享受中小企业扶持政策或者为残疾人福利性单位的，应当随中标、成交结果同时公告其《中小企业声明函》或《残疾人福利性单位声明函》，接受社会监督。若投标人提供的上述声明函为虚假声明则视同提供虚假材料，按“政府采购法”相关规定处理并报请政府监管部门给予行政处罚。</w:t>
      </w:r>
    </w:p>
    <w:bookmarkEnd w:id="286"/>
    <w:p w14:paraId="53F4963C">
      <w:pPr>
        <w:spacing w:line="440" w:lineRule="exact"/>
        <w:ind w:firstLine="241" w:firstLineChars="100"/>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2、信用信息查询</w:t>
      </w:r>
    </w:p>
    <w:p w14:paraId="159BBF7B">
      <w:pPr>
        <w:spacing w:line="44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根据政府采购法及相关法规，以及《国务院关于建立完善守信联合激励和失信联合惩戒制度加快推进社会诚信体系建设的指导意见》（国发〔2016〕33 号）、财政部《关于在政府采购活动中查询及使用信用记录有关问题的通知》（财库〔2016〕125 号）、江苏省财政厅《关于做好政府采购信用信息查询使用及登记等工作的通知》（苏财购〔2016〕50 号）等文件的规定，我们将依法对投标人进行信用查询，凡经评标小组确认不符合政府采购相关法律法规规定的，将拒绝其参与政府采购活动。</w:t>
      </w:r>
    </w:p>
    <w:p w14:paraId="46DD39B7">
      <w:pPr>
        <w:spacing w:line="44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1、查询截止时点：投标文件递交截止时间。</w:t>
      </w:r>
    </w:p>
    <w:p w14:paraId="3C48CAA8">
      <w:pPr>
        <w:spacing w:line="44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2、查询渠道：信用中国 （ https://www.creditchina.gov.cn/ ）查询相关主体信用记录，并采取必要方式做好信用信息报告等查询记录留存，信用信息报告等查询记录应当与其他招标文件一并保存。 </w:t>
      </w:r>
    </w:p>
    <w:p w14:paraId="5B10925D">
      <w:pPr>
        <w:spacing w:line="44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3、查询证据留存方式：</w:t>
      </w:r>
    </w:p>
    <w:p w14:paraId="0EAF5548">
      <w:pPr>
        <w:spacing w:line="44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对存在失信信息的投标人，评标委员会应填写《苏州市级政府采购投标人失信信息确认函》，由失信投标人确认。同时，采购代理机构工作人员应根据评标委员会确认的失信信息，登陆到来源网站页面进行复核并打印，作为证据留存。</w:t>
      </w:r>
    </w:p>
    <w:p w14:paraId="1B050C3F">
      <w:pPr>
        <w:spacing w:line="44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4、信用记录使用规则：</w:t>
      </w:r>
    </w:p>
    <w:p w14:paraId="3EE5F4D3">
      <w:pPr>
        <w:spacing w:line="440" w:lineRule="exact"/>
        <w:ind w:firstLine="480" w:firstLineChars="200"/>
        <w:rPr>
          <w:rFonts w:hint="eastAsia" w:ascii="宋体" w:hAnsi="宋体" w:eastAsia="宋体" w:cs="宋体"/>
          <w:b/>
          <w:color w:val="auto"/>
          <w:sz w:val="36"/>
          <w:highlight w:val="none"/>
        </w:rPr>
      </w:pPr>
      <w:r>
        <w:rPr>
          <w:rFonts w:hint="eastAsia" w:ascii="宋体" w:hAnsi="宋体" w:eastAsia="宋体" w:cs="宋体"/>
          <w:color w:val="auto"/>
          <w:sz w:val="24"/>
          <w:szCs w:val="24"/>
          <w:highlight w:val="none"/>
        </w:rPr>
        <w:t>评标委员会在对投标人进行资格性审查时，应根据查询结果对投标人的不良信用记录逐项甄别确认</w:t>
      </w:r>
      <w:bookmarkEnd w:id="273"/>
      <w:bookmarkEnd w:id="274"/>
      <w:bookmarkEnd w:id="275"/>
      <w:bookmarkStart w:id="287" w:name="_Toc315868063"/>
      <w:bookmarkStart w:id="288" w:name="_Toc158691777"/>
      <w:bookmarkStart w:id="289" w:name="_Toc315875326"/>
      <w:r>
        <w:rPr>
          <w:rFonts w:hint="eastAsia" w:ascii="宋体" w:hAnsi="宋体" w:eastAsia="宋体" w:cs="宋体"/>
          <w:color w:val="auto"/>
          <w:sz w:val="24"/>
          <w:szCs w:val="24"/>
          <w:highlight w:val="none"/>
        </w:rPr>
        <w:t>。</w:t>
      </w:r>
    </w:p>
    <w:p w14:paraId="7176EC36">
      <w:pPr>
        <w:rPr>
          <w:rFonts w:hint="eastAsia" w:ascii="宋体" w:hAnsi="宋体" w:eastAsia="宋体" w:cs="宋体"/>
          <w:b/>
          <w:color w:val="auto"/>
          <w:sz w:val="36"/>
          <w:highlight w:val="none"/>
        </w:rPr>
      </w:pPr>
      <w:r>
        <w:rPr>
          <w:rFonts w:hint="eastAsia" w:ascii="宋体" w:hAnsi="宋体" w:eastAsia="宋体" w:cs="宋体"/>
          <w:b/>
          <w:color w:val="auto"/>
          <w:sz w:val="36"/>
          <w:highlight w:val="none"/>
        </w:rPr>
        <w:br w:type="page"/>
      </w:r>
    </w:p>
    <w:p w14:paraId="47B30847">
      <w:pPr>
        <w:spacing w:line="360" w:lineRule="auto"/>
        <w:jc w:val="center"/>
        <w:outlineLvl w:val="0"/>
        <w:rPr>
          <w:rFonts w:hint="eastAsia" w:ascii="宋体" w:hAnsi="宋体" w:eastAsia="宋体" w:cs="宋体"/>
          <w:b/>
          <w:color w:val="auto"/>
          <w:sz w:val="36"/>
          <w:highlight w:val="none"/>
        </w:rPr>
      </w:pPr>
      <w:bookmarkStart w:id="290" w:name="_Toc9358"/>
      <w:r>
        <w:rPr>
          <w:rFonts w:hint="eastAsia" w:ascii="宋体" w:hAnsi="宋体" w:eastAsia="宋体" w:cs="宋体"/>
          <w:b/>
          <w:color w:val="auto"/>
          <w:sz w:val="36"/>
          <w:highlight w:val="none"/>
        </w:rPr>
        <w:t>第六章 投标文件格式</w:t>
      </w:r>
      <w:bookmarkEnd w:id="290"/>
    </w:p>
    <w:p w14:paraId="3FA0791F">
      <w:pPr>
        <w:rPr>
          <w:rFonts w:hint="eastAsia" w:ascii="宋体" w:hAnsi="宋体" w:eastAsia="宋体" w:cs="宋体"/>
          <w:b/>
          <w:color w:val="auto"/>
          <w:sz w:val="44"/>
          <w:szCs w:val="44"/>
          <w:highlight w:val="none"/>
        </w:rPr>
      </w:pPr>
      <w:r>
        <w:rPr>
          <w:rFonts w:hint="eastAsia" w:ascii="宋体" w:hAnsi="宋体" w:eastAsia="宋体" w:cs="宋体"/>
          <w:b/>
          <w:color w:val="auto"/>
          <w:sz w:val="44"/>
          <w:szCs w:val="44"/>
          <w:highlight w:val="none"/>
        </w:rPr>
        <w:t>封面：</w:t>
      </w:r>
    </w:p>
    <w:p w14:paraId="4B469B20">
      <w:pPr>
        <w:jc w:val="center"/>
        <w:rPr>
          <w:rFonts w:hint="eastAsia" w:ascii="宋体" w:hAnsi="宋体" w:eastAsia="宋体" w:cs="宋体"/>
          <w:b/>
          <w:color w:val="auto"/>
          <w:sz w:val="72"/>
          <w:szCs w:val="72"/>
          <w:highlight w:val="none"/>
        </w:rPr>
      </w:pPr>
    </w:p>
    <w:p w14:paraId="147C4820">
      <w:pPr>
        <w:jc w:val="center"/>
        <w:rPr>
          <w:rFonts w:hint="eastAsia" w:ascii="宋体" w:hAnsi="宋体" w:eastAsia="宋体" w:cs="宋体"/>
          <w:b/>
          <w:color w:val="auto"/>
          <w:sz w:val="72"/>
          <w:szCs w:val="72"/>
          <w:highlight w:val="none"/>
        </w:rPr>
      </w:pPr>
    </w:p>
    <w:p w14:paraId="77A4E27B">
      <w:pPr>
        <w:jc w:val="center"/>
        <w:rPr>
          <w:rFonts w:hint="eastAsia" w:ascii="宋体" w:hAnsi="宋体" w:eastAsia="宋体" w:cs="宋体"/>
          <w:b/>
          <w:color w:val="auto"/>
          <w:sz w:val="72"/>
          <w:szCs w:val="72"/>
          <w:highlight w:val="none"/>
        </w:rPr>
      </w:pPr>
      <w:r>
        <w:rPr>
          <w:rFonts w:hint="eastAsia" w:ascii="宋体" w:hAnsi="宋体" w:eastAsia="宋体" w:cs="宋体"/>
          <w:b/>
          <w:color w:val="auto"/>
          <w:sz w:val="72"/>
          <w:szCs w:val="72"/>
          <w:highlight w:val="none"/>
        </w:rPr>
        <w:t>投标文件</w:t>
      </w:r>
    </w:p>
    <w:p w14:paraId="4483C8A3">
      <w:pPr>
        <w:rPr>
          <w:rFonts w:hint="eastAsia" w:ascii="宋体" w:hAnsi="宋体" w:eastAsia="宋体" w:cs="宋体"/>
          <w:b/>
          <w:color w:val="auto"/>
          <w:sz w:val="36"/>
          <w:szCs w:val="36"/>
          <w:highlight w:val="none"/>
        </w:rPr>
      </w:pPr>
    </w:p>
    <w:p w14:paraId="42305DCE">
      <w:pPr>
        <w:rPr>
          <w:rFonts w:hint="eastAsia" w:ascii="宋体" w:hAnsi="宋体" w:eastAsia="宋体" w:cs="宋体"/>
          <w:b/>
          <w:color w:val="auto"/>
          <w:sz w:val="36"/>
          <w:szCs w:val="36"/>
          <w:highlight w:val="none"/>
        </w:rPr>
      </w:pPr>
    </w:p>
    <w:p w14:paraId="20F7331B">
      <w:pPr>
        <w:rPr>
          <w:rFonts w:hint="eastAsia" w:ascii="宋体" w:hAnsi="宋体" w:eastAsia="宋体" w:cs="宋体"/>
          <w:b/>
          <w:color w:val="auto"/>
          <w:sz w:val="36"/>
          <w:szCs w:val="36"/>
          <w:highlight w:val="none"/>
        </w:rPr>
      </w:pPr>
    </w:p>
    <w:p w14:paraId="4B1A84B4">
      <w:pPr>
        <w:rPr>
          <w:rFonts w:hint="eastAsia" w:ascii="宋体" w:hAnsi="宋体" w:eastAsia="宋体" w:cs="宋体"/>
          <w:b/>
          <w:color w:val="auto"/>
          <w:sz w:val="36"/>
          <w:szCs w:val="36"/>
          <w:highlight w:val="none"/>
        </w:rPr>
      </w:pPr>
    </w:p>
    <w:p w14:paraId="0C23DEAA">
      <w:pPr>
        <w:jc w:val="center"/>
        <w:rPr>
          <w:rFonts w:hint="eastAsia" w:ascii="宋体" w:hAnsi="宋体" w:eastAsia="宋体" w:cs="宋体"/>
          <w:b/>
          <w:color w:val="auto"/>
          <w:sz w:val="36"/>
          <w:szCs w:val="36"/>
          <w:highlight w:val="none"/>
          <w:lang w:eastAsia="zh-CN"/>
        </w:rPr>
      </w:pPr>
      <w:r>
        <w:rPr>
          <w:rFonts w:hint="eastAsia" w:ascii="宋体" w:hAnsi="宋体" w:eastAsia="宋体" w:cs="宋体"/>
          <w:b/>
          <w:color w:val="auto"/>
          <w:sz w:val="36"/>
          <w:szCs w:val="36"/>
          <w:highlight w:val="none"/>
        </w:rPr>
        <w:t>项目名称：</w:t>
      </w:r>
      <w:r>
        <w:rPr>
          <w:rFonts w:hint="eastAsia" w:ascii="宋体" w:hAnsi="宋体" w:eastAsia="宋体" w:cs="宋体"/>
          <w:b/>
          <w:color w:val="auto"/>
          <w:sz w:val="36"/>
          <w:szCs w:val="36"/>
          <w:highlight w:val="none"/>
          <w:lang w:eastAsia="zh-CN"/>
        </w:rPr>
        <w:t>常熟市梅李人民医院食堂供餐配送服务</w:t>
      </w:r>
    </w:p>
    <w:p w14:paraId="154B95CB">
      <w:pPr>
        <w:ind w:firstLine="1084" w:firstLineChars="300"/>
        <w:jc w:val="center"/>
        <w:rPr>
          <w:rFonts w:hint="eastAsia" w:ascii="宋体" w:hAnsi="宋体" w:eastAsia="宋体" w:cs="宋体"/>
          <w:b/>
          <w:color w:val="auto"/>
          <w:sz w:val="36"/>
          <w:szCs w:val="36"/>
          <w:highlight w:val="none"/>
        </w:rPr>
      </w:pPr>
    </w:p>
    <w:p w14:paraId="4B48457E">
      <w:pPr>
        <w:ind w:left="0" w:leftChars="0" w:firstLine="0" w:firstLineChars="0"/>
        <w:jc w:val="center"/>
        <w:rPr>
          <w:rFonts w:hint="eastAsia" w:ascii="宋体" w:hAnsi="宋体" w:eastAsia="宋体" w:cs="宋体"/>
          <w:b/>
          <w:color w:val="auto"/>
          <w:sz w:val="10"/>
          <w:szCs w:val="10"/>
          <w:highlight w:val="none"/>
          <w:lang w:eastAsia="zh-CN"/>
        </w:rPr>
      </w:pPr>
      <w:r>
        <w:rPr>
          <w:rFonts w:hint="eastAsia" w:ascii="宋体" w:hAnsi="宋体" w:eastAsia="宋体" w:cs="宋体"/>
          <w:b/>
          <w:color w:val="auto"/>
          <w:sz w:val="36"/>
          <w:szCs w:val="36"/>
          <w:highlight w:val="none"/>
        </w:rPr>
        <w:t>项目编号：</w:t>
      </w:r>
      <w:r>
        <w:rPr>
          <w:rFonts w:hint="eastAsia" w:ascii="宋体" w:hAnsi="宋体" w:cs="宋体"/>
          <w:b/>
          <w:color w:val="auto"/>
          <w:sz w:val="36"/>
          <w:szCs w:val="36"/>
          <w:highlight w:val="none"/>
          <w:lang w:eastAsia="zh-CN"/>
        </w:rPr>
        <w:t>JSZC-320581-SZDS-G2026-0003</w:t>
      </w:r>
    </w:p>
    <w:p w14:paraId="3961D736">
      <w:pPr>
        <w:ind w:firstLine="2530" w:firstLineChars="700"/>
        <w:rPr>
          <w:rFonts w:hint="eastAsia" w:ascii="宋体" w:hAnsi="宋体" w:eastAsia="宋体" w:cs="宋体"/>
          <w:b/>
          <w:color w:val="auto"/>
          <w:sz w:val="36"/>
          <w:szCs w:val="36"/>
          <w:highlight w:val="none"/>
        </w:rPr>
      </w:pPr>
    </w:p>
    <w:p w14:paraId="76812F74">
      <w:pPr>
        <w:rPr>
          <w:rFonts w:hint="eastAsia" w:ascii="宋体" w:hAnsi="宋体" w:eastAsia="宋体" w:cs="宋体"/>
          <w:color w:val="auto"/>
          <w:sz w:val="36"/>
          <w:szCs w:val="36"/>
          <w:highlight w:val="none"/>
        </w:rPr>
      </w:pPr>
    </w:p>
    <w:p w14:paraId="6FC40382">
      <w:pPr>
        <w:rPr>
          <w:rFonts w:hint="eastAsia" w:ascii="宋体" w:hAnsi="宋体" w:eastAsia="宋体" w:cs="宋体"/>
          <w:b/>
          <w:color w:val="auto"/>
          <w:sz w:val="36"/>
          <w:szCs w:val="36"/>
          <w:highlight w:val="none"/>
        </w:rPr>
      </w:pPr>
    </w:p>
    <w:p w14:paraId="1513F777">
      <w:pPr>
        <w:ind w:firstLine="1084" w:firstLineChars="300"/>
        <w:jc w:val="center"/>
        <w:rPr>
          <w:rFonts w:hint="eastAsia" w:ascii="宋体" w:hAnsi="宋体" w:eastAsia="宋体" w:cs="宋体"/>
          <w:b/>
          <w:color w:val="auto"/>
          <w:sz w:val="36"/>
          <w:szCs w:val="36"/>
          <w:highlight w:val="none"/>
        </w:rPr>
      </w:pPr>
    </w:p>
    <w:p w14:paraId="63DC9773">
      <w:pPr>
        <w:ind w:left="0" w:leftChars="0" w:firstLine="0" w:firstLineChars="0"/>
        <w:jc w:val="center"/>
        <w:rPr>
          <w:rFonts w:hint="eastAsia" w:ascii="宋体" w:hAnsi="宋体" w:eastAsia="宋体" w:cs="宋体"/>
          <w:b/>
          <w:color w:val="auto"/>
          <w:sz w:val="36"/>
          <w:szCs w:val="36"/>
          <w:highlight w:val="none"/>
        </w:rPr>
      </w:pPr>
      <w:r>
        <w:rPr>
          <w:rFonts w:hint="eastAsia" w:ascii="宋体" w:hAnsi="宋体" w:eastAsia="宋体" w:cs="宋体"/>
          <w:b/>
          <w:color w:val="auto"/>
          <w:sz w:val="36"/>
          <w:szCs w:val="21"/>
          <w:highlight w:val="none"/>
        </w:rPr>
        <w:t>投标人名称</w:t>
      </w:r>
      <w:r>
        <w:rPr>
          <w:rFonts w:hint="eastAsia" w:ascii="宋体" w:hAnsi="宋体" w:eastAsia="宋体" w:cs="宋体"/>
          <w:b/>
          <w:color w:val="auto"/>
          <w:sz w:val="36"/>
          <w:szCs w:val="36"/>
          <w:highlight w:val="none"/>
        </w:rPr>
        <w:t>：</w:t>
      </w:r>
      <w:r>
        <w:rPr>
          <w:rFonts w:hint="eastAsia" w:ascii="宋体" w:hAnsi="宋体" w:eastAsia="宋体" w:cs="宋体"/>
          <w:b/>
          <w:color w:val="auto"/>
          <w:sz w:val="36"/>
          <w:szCs w:val="21"/>
          <w:highlight w:val="none"/>
          <w:u w:val="single"/>
        </w:rPr>
        <w:t>（加盖CA电子公章）</w:t>
      </w:r>
    </w:p>
    <w:p w14:paraId="6A437A76">
      <w:pPr>
        <w:ind w:firstLine="1988" w:firstLineChars="550"/>
        <w:jc w:val="center"/>
        <w:rPr>
          <w:rFonts w:hint="eastAsia" w:ascii="宋体" w:hAnsi="宋体" w:eastAsia="宋体" w:cs="宋体"/>
          <w:b/>
          <w:color w:val="auto"/>
          <w:sz w:val="36"/>
          <w:szCs w:val="36"/>
          <w:highlight w:val="none"/>
        </w:rPr>
      </w:pPr>
    </w:p>
    <w:p w14:paraId="0201B9D3">
      <w:pPr>
        <w:ind w:left="0" w:leftChars="0" w:firstLine="0" w:firstLineChars="0"/>
        <w:jc w:val="center"/>
        <w:rPr>
          <w:rFonts w:hint="eastAsia" w:ascii="宋体" w:hAnsi="宋体" w:eastAsia="宋体" w:cs="宋体"/>
          <w:b/>
          <w:color w:val="auto"/>
          <w:sz w:val="36"/>
          <w:szCs w:val="36"/>
          <w:highlight w:val="none"/>
        </w:rPr>
      </w:pPr>
      <w:r>
        <w:rPr>
          <w:rFonts w:hint="eastAsia" w:ascii="宋体" w:hAnsi="宋体" w:eastAsia="宋体" w:cs="宋体"/>
          <w:b/>
          <w:color w:val="auto"/>
          <w:sz w:val="36"/>
          <w:szCs w:val="36"/>
          <w:highlight w:val="none"/>
        </w:rPr>
        <w:t>日期：   年   月    日</w:t>
      </w:r>
    </w:p>
    <w:p w14:paraId="6869EAC1">
      <w:pPr>
        <w:ind w:firstLine="482" w:firstLineChars="200"/>
        <w:rPr>
          <w:rFonts w:hint="eastAsia" w:ascii="宋体" w:hAnsi="宋体" w:eastAsia="宋体" w:cs="宋体"/>
          <w:b/>
          <w:color w:val="auto"/>
          <w:sz w:val="24"/>
          <w:szCs w:val="24"/>
          <w:highlight w:val="none"/>
        </w:rPr>
      </w:pPr>
    </w:p>
    <w:p w14:paraId="78C668BA">
      <w:pPr>
        <w:jc w:val="center"/>
        <w:rPr>
          <w:rFonts w:hint="eastAsia" w:ascii="宋体" w:hAnsi="宋体" w:eastAsia="宋体" w:cs="宋体"/>
          <w:b/>
          <w:color w:val="auto"/>
          <w:sz w:val="48"/>
          <w:szCs w:val="48"/>
          <w:highlight w:val="none"/>
        </w:rPr>
      </w:pPr>
      <w:r>
        <w:rPr>
          <w:rFonts w:hint="eastAsia" w:ascii="宋体" w:hAnsi="宋体" w:eastAsia="宋体" w:cs="宋体"/>
          <w:b/>
          <w:color w:val="auto"/>
          <w:sz w:val="48"/>
          <w:szCs w:val="48"/>
          <w:highlight w:val="none"/>
        </w:rPr>
        <w:t>目录</w:t>
      </w:r>
    </w:p>
    <w:p w14:paraId="7A141164">
      <w:pPr>
        <w:spacing w:line="400" w:lineRule="exact"/>
        <w:ind w:firstLine="482" w:firstLineChars="200"/>
        <w:rPr>
          <w:rFonts w:hint="eastAsia" w:ascii="宋体" w:hAnsi="宋体" w:eastAsia="宋体" w:cs="宋体"/>
          <w:b/>
          <w:bCs/>
          <w:color w:val="auto"/>
          <w:sz w:val="24"/>
          <w:szCs w:val="24"/>
          <w:highlight w:val="none"/>
        </w:rPr>
      </w:pPr>
      <w:bookmarkStart w:id="291" w:name="_Toc511680880"/>
      <w:r>
        <w:rPr>
          <w:rFonts w:hint="eastAsia" w:ascii="宋体" w:hAnsi="宋体" w:eastAsia="宋体" w:cs="宋体"/>
          <w:b/>
          <w:bCs/>
          <w:color w:val="auto"/>
          <w:sz w:val="24"/>
          <w:szCs w:val="24"/>
          <w:highlight w:val="none"/>
        </w:rPr>
        <w:t>一、基本目录</w:t>
      </w:r>
    </w:p>
    <w:p w14:paraId="2728C74C">
      <w:pPr>
        <w:spacing w:line="40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r>
        <w:rPr>
          <w:rFonts w:hint="eastAsia" w:ascii="宋体" w:hAnsi="宋体" w:eastAsia="宋体" w:cs="宋体"/>
          <w:color w:val="auto"/>
          <w:sz w:val="24"/>
          <w:highlight w:val="none"/>
        </w:rPr>
        <w:t>开标一览表</w:t>
      </w:r>
      <w:r>
        <w:rPr>
          <w:rFonts w:hint="eastAsia" w:ascii="宋体" w:hAnsi="宋体" w:eastAsia="宋体" w:cs="宋体"/>
          <w:color w:val="auto"/>
          <w:sz w:val="24"/>
          <w:szCs w:val="24"/>
          <w:highlight w:val="none"/>
        </w:rPr>
        <w:t>（格式见附件）</w:t>
      </w:r>
    </w:p>
    <w:p w14:paraId="6DF6D551">
      <w:pPr>
        <w:spacing w:line="400" w:lineRule="exact"/>
        <w:ind w:firstLine="482" w:firstLineChars="200"/>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二、资格审查内容</w:t>
      </w:r>
    </w:p>
    <w:p w14:paraId="58586589">
      <w:pPr>
        <w:spacing w:line="40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*1、满足《中华人民共和国政府采购法》第二十二条规定，并提供下列材料：</w:t>
      </w:r>
    </w:p>
    <w:p w14:paraId="528132F3">
      <w:pPr>
        <w:spacing w:line="400" w:lineRule="exact"/>
        <w:ind w:firstLine="720" w:firstLineChars="3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 法人或者其他组织的营业执照等证明文件；</w:t>
      </w:r>
    </w:p>
    <w:p w14:paraId="5CF42F9E">
      <w:pPr>
        <w:spacing w:line="400" w:lineRule="exact"/>
        <w:ind w:firstLine="720" w:firstLineChars="3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1.2 提供最近一期经会计事务所审计的财务报告（成立不满一年需提供资产负债表和利润表）或银行（金融机构）出具的资信证明</w:t>
      </w:r>
      <w:r>
        <w:rPr>
          <w:rFonts w:hint="eastAsia" w:ascii="宋体" w:hAnsi="宋体" w:eastAsia="宋体" w:cs="宋体"/>
          <w:b/>
          <w:bCs/>
          <w:color w:val="auto"/>
          <w:sz w:val="24"/>
          <w:szCs w:val="24"/>
          <w:highlight w:val="none"/>
        </w:rPr>
        <w:t>（距开标时间六个月内开具的资信证明）</w:t>
      </w:r>
    </w:p>
    <w:p w14:paraId="2FEC18D8">
      <w:pPr>
        <w:spacing w:line="400" w:lineRule="exact"/>
        <w:ind w:firstLine="720" w:firstLineChars="3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1.3 依法缴纳税收和社会保障资金的相关材料（提供投标截止时间前一年内至少一个月依法缴纳税收及缴纳社会保障资金的证明材料，如投标人缴纳税收的凭据、缴纳社会保险的专用收据或社会保险缴纳清单。投标人依法享受免缴税收、社会保障资金的提供证明材料。）</w:t>
      </w:r>
    </w:p>
    <w:p w14:paraId="04EF9CD0">
      <w:pPr>
        <w:spacing w:line="400" w:lineRule="exact"/>
        <w:ind w:firstLine="720" w:firstLineChars="3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1.4 具备履行合同所必需的设备和专业技术能力的书面声明（格式见附件）</w:t>
      </w:r>
    </w:p>
    <w:p w14:paraId="5C1771FC">
      <w:pPr>
        <w:spacing w:line="400" w:lineRule="exact"/>
        <w:ind w:firstLine="720" w:firstLineChars="3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1.5 参加政府采购活动前 3 年内在经营活动中没有重大违法记录的书面声明（格式见附件）</w:t>
      </w:r>
    </w:p>
    <w:p w14:paraId="03DF675D">
      <w:pPr>
        <w:spacing w:line="40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*2、中小企业声明函（格式见附件）或残疾人福利性单位声明函（格式见附件）或省级以上监狱管理局、戒毒管理局（含新疆生产建设兵团）出具的属于监狱企业的证明文件</w:t>
      </w:r>
    </w:p>
    <w:p w14:paraId="0258EAFD">
      <w:pPr>
        <w:spacing w:line="40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w:t>
      </w:r>
      <w:r>
        <w:rPr>
          <w:rFonts w:hint="eastAsia" w:ascii="宋体" w:hAnsi="宋体" w:cs="宋体"/>
          <w:color w:val="auto"/>
          <w:sz w:val="24"/>
          <w:szCs w:val="24"/>
          <w:highlight w:val="none"/>
          <w:lang w:val="en-US" w:eastAsia="zh-CN"/>
        </w:rPr>
        <w:t>3</w:t>
      </w:r>
      <w:r>
        <w:rPr>
          <w:rFonts w:hint="eastAsia" w:ascii="宋体" w:hAnsi="宋体" w:eastAsia="宋体" w:cs="宋体"/>
          <w:color w:val="auto"/>
          <w:sz w:val="24"/>
          <w:szCs w:val="24"/>
          <w:highlight w:val="none"/>
        </w:rPr>
        <w:t>、</w:t>
      </w:r>
      <w:r>
        <w:rPr>
          <w:rFonts w:hint="eastAsia" w:ascii="宋体" w:hAnsi="宋体" w:cs="宋体"/>
          <w:color w:val="auto"/>
          <w:sz w:val="24"/>
          <w:szCs w:val="24"/>
          <w:highlight w:val="none"/>
          <w:lang w:val="en-US" w:eastAsia="zh-CN"/>
        </w:rPr>
        <w:t>投标人</w:t>
      </w:r>
      <w:r>
        <w:rPr>
          <w:rFonts w:hint="eastAsia" w:ascii="宋体" w:hAnsi="宋体" w:eastAsia="宋体" w:cs="宋体"/>
          <w:sz w:val="24"/>
          <w:highlight w:val="none"/>
        </w:rPr>
        <w:t>具有有效的食品经营许可证（许可范围需包含：餐饮服务经营者（集体用餐配送单位））</w:t>
      </w:r>
    </w:p>
    <w:p w14:paraId="24C9D2F7">
      <w:pPr>
        <w:spacing w:line="400" w:lineRule="exact"/>
        <w:ind w:firstLine="482" w:firstLineChars="200"/>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注：其中加“*”项目若有缺失或无效，将导致其投标文件无效且不允许在投标文件开启时间后补正。</w:t>
      </w:r>
    </w:p>
    <w:p w14:paraId="2625C905">
      <w:pPr>
        <w:spacing w:line="400" w:lineRule="exact"/>
        <w:ind w:firstLine="482" w:firstLineChars="200"/>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三、符合性审查内容</w:t>
      </w:r>
    </w:p>
    <w:p w14:paraId="51B10536">
      <w:pPr>
        <w:spacing w:line="40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法人授权书（格式见附件）（如法定代表人签署投标文件的，法人授权书无需提供）</w:t>
      </w:r>
    </w:p>
    <w:p w14:paraId="60A19D6F">
      <w:pPr>
        <w:spacing w:line="40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投标函（格式见附件）</w:t>
      </w:r>
    </w:p>
    <w:p w14:paraId="1951AA4E">
      <w:pPr>
        <w:spacing w:line="40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highlight w:val="none"/>
        </w:rPr>
        <w:t>3</w:t>
      </w:r>
      <w:r>
        <w:rPr>
          <w:rFonts w:hint="eastAsia" w:ascii="宋体" w:hAnsi="宋体" w:eastAsia="宋体" w:cs="宋体"/>
          <w:color w:val="auto"/>
          <w:sz w:val="24"/>
          <w:highlight w:val="none"/>
          <w:lang w:eastAsia="zh-CN"/>
        </w:rPr>
        <w:t>、</w:t>
      </w:r>
      <w:r>
        <w:rPr>
          <w:rFonts w:hint="eastAsia" w:ascii="宋体" w:hAnsi="宋体" w:eastAsia="宋体" w:cs="宋体"/>
          <w:color w:val="auto"/>
          <w:sz w:val="24"/>
          <w:szCs w:val="24"/>
          <w:highlight w:val="none"/>
        </w:rPr>
        <w:t>实质性要求响应及偏离表（格式见附件）</w:t>
      </w:r>
    </w:p>
    <w:p w14:paraId="60C99118">
      <w:pPr>
        <w:spacing w:line="400" w:lineRule="exact"/>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4</w:t>
      </w: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rPr>
        <w:t>服务要求响应及偏离表（格式见附件）</w:t>
      </w:r>
    </w:p>
    <w:p w14:paraId="1C04D47E">
      <w:pPr>
        <w:spacing w:line="40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highlight w:val="none"/>
        </w:rPr>
        <w:t>5</w:t>
      </w: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rPr>
        <w:t>商务要求响应及偏离表</w:t>
      </w:r>
      <w:r>
        <w:rPr>
          <w:rFonts w:hint="eastAsia" w:ascii="宋体" w:hAnsi="宋体" w:eastAsia="宋体" w:cs="宋体"/>
          <w:color w:val="auto"/>
          <w:sz w:val="24"/>
          <w:szCs w:val="24"/>
          <w:highlight w:val="none"/>
        </w:rPr>
        <w:t>（格式见附件）</w:t>
      </w:r>
    </w:p>
    <w:p w14:paraId="1D06FF56">
      <w:pPr>
        <w:spacing w:line="40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6、供应商与其他单位存在直接控股、管理关系情况表</w:t>
      </w:r>
      <w:r>
        <w:rPr>
          <w:rFonts w:hint="eastAsia" w:ascii="宋体" w:hAnsi="宋体" w:eastAsia="宋体" w:cs="宋体"/>
          <w:color w:val="auto"/>
          <w:sz w:val="24"/>
          <w:szCs w:val="24"/>
          <w:highlight w:val="none"/>
        </w:rPr>
        <w:t>（格式见附件）</w:t>
      </w:r>
    </w:p>
    <w:p w14:paraId="3EC8F9CA">
      <w:pPr>
        <w:spacing w:line="400" w:lineRule="exact"/>
        <w:ind w:firstLine="480" w:firstLineChars="200"/>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7、关于符合本国产品标准的声明函</w:t>
      </w:r>
      <w:r>
        <w:rPr>
          <w:rFonts w:hint="eastAsia" w:ascii="宋体" w:hAnsi="宋体" w:eastAsia="宋体" w:cs="宋体"/>
          <w:color w:val="auto"/>
          <w:sz w:val="24"/>
          <w:szCs w:val="24"/>
          <w:highlight w:val="none"/>
        </w:rPr>
        <w:t>（格式见附件）</w:t>
      </w:r>
    </w:p>
    <w:p w14:paraId="64D6E6E4">
      <w:pPr>
        <w:spacing w:line="400" w:lineRule="exact"/>
        <w:ind w:firstLine="482" w:firstLineChars="200"/>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四、综合评审文件</w:t>
      </w:r>
    </w:p>
    <w:p w14:paraId="4D36AB91">
      <w:pPr>
        <w:spacing w:line="40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1、项目实施方案（格式见附件）</w:t>
      </w:r>
    </w:p>
    <w:p w14:paraId="40AAF9D3">
      <w:pPr>
        <w:spacing w:line="40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r>
        <w:rPr>
          <w:rFonts w:hint="eastAsia" w:ascii="宋体" w:hAnsi="宋体" w:eastAsia="宋体" w:cs="宋体"/>
          <w:color w:val="auto"/>
          <w:sz w:val="24"/>
          <w:highlight w:val="none"/>
        </w:rPr>
        <w:t>项目组人员一览表</w:t>
      </w:r>
      <w:r>
        <w:rPr>
          <w:rFonts w:hint="eastAsia" w:ascii="宋体" w:hAnsi="宋体" w:eastAsia="宋体" w:cs="宋体"/>
          <w:color w:val="auto"/>
          <w:sz w:val="24"/>
          <w:szCs w:val="24"/>
          <w:highlight w:val="none"/>
        </w:rPr>
        <w:t>（格式见附件）</w:t>
      </w:r>
    </w:p>
    <w:p w14:paraId="71F3EC09">
      <w:pPr>
        <w:spacing w:line="40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、业绩一览表（格式见附件）</w:t>
      </w:r>
    </w:p>
    <w:p w14:paraId="46BF70BA">
      <w:pPr>
        <w:spacing w:line="400" w:lineRule="exact"/>
        <w:ind w:firstLine="482" w:firstLineChars="200"/>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备注：针对“二、资格审查内容”和“三、符合性审查内容”，投标人必须在投标文件中提供相关材料，若有缺失或无效的，将导致其投标无效。</w:t>
      </w:r>
    </w:p>
    <w:p w14:paraId="17E84FDD">
      <w:pPr>
        <w:rPr>
          <w:rFonts w:hint="eastAsia" w:ascii="宋体" w:hAnsi="宋体" w:eastAsia="宋体" w:cs="宋体"/>
          <w:b/>
          <w:color w:val="auto"/>
          <w:sz w:val="24"/>
          <w:szCs w:val="24"/>
          <w:highlight w:val="none"/>
        </w:rPr>
      </w:pPr>
      <w:r>
        <w:rPr>
          <w:rFonts w:hint="eastAsia" w:ascii="宋体" w:hAnsi="宋体" w:eastAsia="宋体" w:cs="宋体"/>
          <w:color w:val="auto"/>
          <w:highlight w:val="none"/>
        </w:rPr>
        <w:br w:type="page"/>
      </w:r>
      <w:bookmarkEnd w:id="291"/>
    </w:p>
    <w:p w14:paraId="43D9A6FA">
      <w:pPr>
        <w:pStyle w:val="3"/>
        <w:rPr>
          <w:rFonts w:hint="eastAsia" w:ascii="宋体" w:hAnsi="宋体" w:eastAsia="宋体" w:cs="宋体"/>
          <w:color w:val="auto"/>
          <w:highlight w:val="none"/>
        </w:rPr>
      </w:pPr>
      <w:bookmarkStart w:id="292" w:name="_Toc511680881"/>
      <w:bookmarkStart w:id="293" w:name="_Toc26019"/>
      <w:bookmarkStart w:id="294" w:name="_Toc472326799"/>
      <w:r>
        <w:rPr>
          <w:rFonts w:hint="eastAsia" w:ascii="宋体" w:hAnsi="宋体" w:eastAsia="宋体" w:cs="宋体"/>
          <w:color w:val="auto"/>
          <w:highlight w:val="none"/>
        </w:rPr>
        <w:t>附件1 开标一览表</w:t>
      </w:r>
      <w:bookmarkEnd w:id="292"/>
      <w:bookmarkEnd w:id="293"/>
      <w:bookmarkEnd w:id="294"/>
    </w:p>
    <w:bookmarkEnd w:id="287"/>
    <w:bookmarkEnd w:id="288"/>
    <w:bookmarkEnd w:id="289"/>
    <w:p w14:paraId="338F4980">
      <w:pPr>
        <w:spacing w:line="400" w:lineRule="exact"/>
        <w:ind w:firstLine="482"/>
        <w:rPr>
          <w:rFonts w:hint="eastAsia" w:ascii="宋体" w:hAnsi="宋体" w:eastAsia="宋体" w:cs="宋体"/>
          <w:color w:val="auto"/>
          <w:sz w:val="24"/>
          <w:szCs w:val="24"/>
          <w:highlight w:val="none"/>
        </w:rPr>
      </w:pPr>
      <w:bookmarkStart w:id="295" w:name="_Toc13333"/>
      <w:bookmarkStart w:id="296" w:name="_Toc10210"/>
      <w:bookmarkStart w:id="297" w:name="_Toc507155725"/>
      <w:bookmarkStart w:id="298" w:name="_Toc501026326"/>
      <w:bookmarkStart w:id="299" w:name="_Toc500969519"/>
      <w:bookmarkStart w:id="300" w:name="_Toc504487339"/>
      <w:r>
        <w:rPr>
          <w:rFonts w:hint="eastAsia" w:ascii="宋体" w:hAnsi="宋体" w:eastAsia="宋体" w:cs="宋体"/>
          <w:color w:val="auto"/>
          <w:sz w:val="24"/>
          <w:szCs w:val="24"/>
          <w:highlight w:val="none"/>
        </w:rPr>
        <w:t>投标人全称（加盖CA电子签章）：</w:t>
      </w:r>
    </w:p>
    <w:p w14:paraId="082EE196">
      <w:pPr>
        <w:spacing w:line="400" w:lineRule="exact"/>
        <w:ind w:firstLine="482"/>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项目名称：</w:t>
      </w:r>
      <w:r>
        <w:rPr>
          <w:rFonts w:hint="eastAsia" w:ascii="宋体" w:hAnsi="宋体" w:eastAsia="宋体" w:cs="宋体"/>
          <w:color w:val="auto"/>
          <w:sz w:val="24"/>
          <w:szCs w:val="24"/>
          <w:highlight w:val="none"/>
          <w:lang w:eastAsia="zh-CN"/>
        </w:rPr>
        <w:t>常熟市梅李人民医院食堂供餐配送服务</w:t>
      </w:r>
    </w:p>
    <w:p w14:paraId="4CF19767">
      <w:pPr>
        <w:spacing w:line="400" w:lineRule="exact"/>
        <w:ind w:firstLine="482"/>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项目编号：</w:t>
      </w:r>
      <w:r>
        <w:rPr>
          <w:rFonts w:hint="eastAsia" w:ascii="宋体" w:hAnsi="宋体" w:cs="宋体"/>
          <w:bCs/>
          <w:color w:val="auto"/>
          <w:sz w:val="24"/>
          <w:szCs w:val="24"/>
          <w:highlight w:val="none"/>
          <w:lang w:eastAsia="zh-CN"/>
        </w:rPr>
        <w:t>JSZC-320581-SZDS-G2026-0003</w:t>
      </w:r>
    </w:p>
    <w:tbl>
      <w:tblPr>
        <w:tblStyle w:val="55"/>
        <w:tblpPr w:leftFromText="180" w:rightFromText="180" w:vertAnchor="text" w:horzAnchor="page" w:tblpX="1318" w:tblpY="279"/>
        <w:tblOverlap w:val="never"/>
        <w:tblW w:w="959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130"/>
        <w:gridCol w:w="4469"/>
      </w:tblGrid>
      <w:tr w14:paraId="640EEF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trPr>
        <w:tc>
          <w:tcPr>
            <w:tcW w:w="5130" w:type="dxa"/>
            <w:vAlign w:val="center"/>
          </w:tcPr>
          <w:p w14:paraId="76DFBFE8">
            <w:pPr>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项目名称</w:t>
            </w:r>
          </w:p>
        </w:tc>
        <w:tc>
          <w:tcPr>
            <w:tcW w:w="4469" w:type="dxa"/>
            <w:vAlign w:val="center"/>
          </w:tcPr>
          <w:p w14:paraId="34006696">
            <w:pPr>
              <w:jc w:val="center"/>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投标优惠率</w:t>
            </w:r>
          </w:p>
        </w:tc>
      </w:tr>
      <w:tr w14:paraId="615481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5" w:hRule="atLeast"/>
        </w:trPr>
        <w:tc>
          <w:tcPr>
            <w:tcW w:w="5130" w:type="dxa"/>
            <w:vAlign w:val="center"/>
          </w:tcPr>
          <w:p w14:paraId="56016415">
            <w:pPr>
              <w:jc w:val="center"/>
              <w:rPr>
                <w:rFonts w:hint="eastAsia" w:ascii="宋体" w:hAnsi="宋体" w:eastAsia="宋体" w:cs="宋体"/>
                <w:b/>
                <w:color w:val="auto"/>
                <w:sz w:val="24"/>
                <w:szCs w:val="24"/>
                <w:highlight w:val="none"/>
                <w:lang w:eastAsia="zh-CN"/>
              </w:rPr>
            </w:pPr>
            <w:r>
              <w:rPr>
                <w:rFonts w:hint="eastAsia" w:ascii="宋体" w:hAnsi="宋体" w:eastAsia="宋体" w:cs="宋体"/>
                <w:color w:val="auto"/>
                <w:sz w:val="24"/>
                <w:szCs w:val="24"/>
                <w:highlight w:val="none"/>
                <w:lang w:eastAsia="zh-CN"/>
              </w:rPr>
              <w:t>常熟市梅李人民医院食堂供餐配送服务</w:t>
            </w:r>
          </w:p>
        </w:tc>
        <w:tc>
          <w:tcPr>
            <w:tcW w:w="4469" w:type="dxa"/>
            <w:vAlign w:val="center"/>
          </w:tcPr>
          <w:p w14:paraId="6904D779">
            <w:pPr>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小写：       %</w:t>
            </w:r>
          </w:p>
        </w:tc>
      </w:tr>
    </w:tbl>
    <w:p w14:paraId="3C33B3D7">
      <w:pPr>
        <w:spacing w:line="480" w:lineRule="exact"/>
        <w:rPr>
          <w:rFonts w:hint="eastAsia" w:ascii="宋体" w:hAnsi="宋体" w:eastAsia="宋体" w:cs="宋体"/>
          <w:bCs/>
          <w:color w:val="000000"/>
          <w:sz w:val="24"/>
          <w:highlight w:val="none"/>
        </w:rPr>
      </w:pPr>
      <w:r>
        <w:rPr>
          <w:rFonts w:hint="eastAsia" w:ascii="宋体" w:hAnsi="宋体" w:eastAsia="宋体" w:cs="宋体"/>
          <w:color w:val="000000"/>
          <w:sz w:val="24"/>
          <w:highlight w:val="none"/>
        </w:rPr>
        <w:t>注：1、</w:t>
      </w:r>
      <w:r>
        <w:rPr>
          <w:rFonts w:hint="eastAsia" w:ascii="宋体" w:hAnsi="宋体" w:cs="宋体"/>
          <w:bCs/>
          <w:color w:val="000000"/>
          <w:sz w:val="24"/>
          <w:highlight w:val="none"/>
          <w:lang w:eastAsia="zh-CN"/>
        </w:rPr>
        <w:t>“</w:t>
      </w:r>
      <w:r>
        <w:rPr>
          <w:rFonts w:hint="eastAsia" w:ascii="宋体" w:hAnsi="宋体" w:eastAsia="宋体" w:cs="宋体"/>
          <w:bCs/>
          <w:color w:val="000000"/>
          <w:sz w:val="24"/>
          <w:highlight w:val="none"/>
        </w:rPr>
        <w:t>投标优惠率</w:t>
      </w:r>
      <w:r>
        <w:rPr>
          <w:rFonts w:hint="eastAsia" w:ascii="宋体" w:hAnsi="宋体" w:cs="宋体"/>
          <w:bCs/>
          <w:color w:val="000000"/>
          <w:sz w:val="24"/>
          <w:highlight w:val="none"/>
          <w:lang w:eastAsia="zh-CN"/>
        </w:rPr>
        <w:t>”</w:t>
      </w:r>
      <w:r>
        <w:rPr>
          <w:rFonts w:hint="eastAsia" w:ascii="宋体" w:hAnsi="宋体" w:eastAsia="宋体" w:cs="宋体"/>
          <w:bCs/>
          <w:color w:val="000000"/>
          <w:sz w:val="24"/>
          <w:highlight w:val="none"/>
        </w:rPr>
        <w:t>请保留小数点后两位。</w:t>
      </w:r>
    </w:p>
    <w:p w14:paraId="597F5FEF">
      <w:pPr>
        <w:spacing w:line="440" w:lineRule="exact"/>
        <w:rPr>
          <w:rFonts w:hint="eastAsia" w:ascii="宋体" w:hAnsi="宋体" w:eastAsia="宋体" w:cs="宋体"/>
          <w:color w:val="auto"/>
          <w:sz w:val="24"/>
          <w:szCs w:val="24"/>
          <w:highlight w:val="none"/>
        </w:rPr>
      </w:pPr>
      <w:r>
        <w:rPr>
          <w:rFonts w:hint="eastAsia" w:ascii="宋体" w:hAnsi="宋体" w:eastAsia="宋体" w:cs="宋体"/>
          <w:b/>
          <w:bCs/>
          <w:color w:val="000000"/>
          <w:sz w:val="24"/>
          <w:highlight w:val="none"/>
        </w:rPr>
        <w:t xml:space="preserve">  </w:t>
      </w:r>
      <w:r>
        <w:rPr>
          <w:rFonts w:hint="eastAsia" w:ascii="宋体" w:hAnsi="宋体" w:eastAsia="宋体" w:cs="宋体"/>
          <w:b/>
          <w:bCs/>
          <w:color w:val="000000"/>
          <w:sz w:val="24"/>
          <w:highlight w:val="none"/>
          <w:lang w:val="en-US" w:eastAsia="zh-CN"/>
        </w:rPr>
        <w:t xml:space="preserve">  </w:t>
      </w:r>
      <w:r>
        <w:rPr>
          <w:rFonts w:hint="eastAsia" w:ascii="宋体" w:hAnsi="宋体" w:eastAsia="宋体" w:cs="宋体"/>
          <w:b/>
          <w:bCs/>
          <w:color w:val="000000"/>
          <w:sz w:val="24"/>
          <w:highlight w:val="none"/>
        </w:rPr>
        <w:t>2、具体填写方式为：如投标文件中的</w:t>
      </w:r>
      <w:r>
        <w:rPr>
          <w:rFonts w:hint="eastAsia" w:ascii="宋体" w:hAnsi="宋体" w:cs="宋体"/>
          <w:b/>
          <w:bCs/>
          <w:color w:val="000000"/>
          <w:sz w:val="24"/>
          <w:highlight w:val="none"/>
          <w:lang w:eastAsia="zh-CN"/>
        </w:rPr>
        <w:t>投标优惠率</w:t>
      </w:r>
      <w:r>
        <w:rPr>
          <w:rFonts w:hint="eastAsia" w:ascii="宋体" w:hAnsi="宋体" w:eastAsia="宋体" w:cs="宋体"/>
          <w:b/>
          <w:bCs/>
          <w:color w:val="000000"/>
          <w:sz w:val="24"/>
          <w:highlight w:val="none"/>
        </w:rPr>
        <w:t>为10%，则“电子投标文件格式”“投标优惠率”中填写10</w:t>
      </w:r>
      <w:r>
        <w:rPr>
          <w:rFonts w:hint="eastAsia" w:ascii="宋体" w:hAnsi="宋体" w:cs="宋体"/>
          <w:b/>
          <w:bCs/>
          <w:color w:val="000000"/>
          <w:sz w:val="24"/>
          <w:highlight w:val="none"/>
          <w:lang w:val="en-US" w:eastAsia="zh-CN"/>
        </w:rPr>
        <w:t>.00</w:t>
      </w:r>
      <w:r>
        <w:rPr>
          <w:rFonts w:hint="eastAsia" w:ascii="宋体" w:hAnsi="宋体" w:eastAsia="宋体" w:cs="宋体"/>
          <w:b/>
          <w:bCs/>
          <w:color w:val="000000"/>
          <w:sz w:val="24"/>
          <w:highlight w:val="none"/>
        </w:rPr>
        <w:t>；如投标文件中的</w:t>
      </w:r>
      <w:r>
        <w:rPr>
          <w:rFonts w:hint="eastAsia" w:ascii="宋体" w:hAnsi="宋体" w:cs="宋体"/>
          <w:b/>
          <w:bCs/>
          <w:color w:val="000000"/>
          <w:sz w:val="24"/>
          <w:highlight w:val="none"/>
          <w:lang w:eastAsia="zh-CN"/>
        </w:rPr>
        <w:t>投标优惠率</w:t>
      </w:r>
      <w:r>
        <w:rPr>
          <w:rFonts w:hint="eastAsia" w:ascii="宋体" w:hAnsi="宋体" w:eastAsia="宋体" w:cs="宋体"/>
          <w:b/>
          <w:bCs/>
          <w:color w:val="000000"/>
          <w:sz w:val="24"/>
          <w:highlight w:val="none"/>
        </w:rPr>
        <w:t>为10.05%，则“电子投标文件格式”“投标优惠率”中填写10.05。</w:t>
      </w:r>
    </w:p>
    <w:p w14:paraId="72D96489">
      <w:pPr>
        <w:jc w:val="right"/>
        <w:rPr>
          <w:rFonts w:hint="eastAsia" w:ascii="宋体" w:hAnsi="宋体" w:eastAsia="宋体" w:cs="宋体"/>
          <w:color w:val="auto"/>
          <w:sz w:val="24"/>
          <w:szCs w:val="24"/>
          <w:highlight w:val="none"/>
        </w:rPr>
      </w:pPr>
    </w:p>
    <w:p w14:paraId="5D4B31EC">
      <w:pPr>
        <w:rPr>
          <w:rFonts w:hint="eastAsia" w:ascii="宋体" w:hAnsi="宋体" w:eastAsia="宋体" w:cs="宋体"/>
          <w:color w:val="auto"/>
          <w:highlight w:val="none"/>
        </w:rPr>
      </w:pPr>
      <w:r>
        <w:rPr>
          <w:rFonts w:hint="eastAsia" w:ascii="宋体" w:hAnsi="宋体" w:eastAsia="宋体" w:cs="宋体"/>
          <w:color w:val="auto"/>
          <w:highlight w:val="none"/>
        </w:rPr>
        <w:br w:type="page"/>
      </w:r>
    </w:p>
    <w:p w14:paraId="205A2669">
      <w:pPr>
        <w:pStyle w:val="3"/>
        <w:rPr>
          <w:rFonts w:hint="eastAsia" w:ascii="宋体" w:hAnsi="宋体" w:eastAsia="宋体" w:cs="宋体"/>
          <w:color w:val="auto"/>
          <w:highlight w:val="none"/>
        </w:rPr>
      </w:pPr>
      <w:bookmarkStart w:id="301" w:name="_Toc2517"/>
      <w:r>
        <w:rPr>
          <w:rFonts w:hint="eastAsia" w:ascii="宋体" w:hAnsi="宋体" w:eastAsia="宋体" w:cs="宋体"/>
          <w:color w:val="auto"/>
          <w:highlight w:val="none"/>
        </w:rPr>
        <w:t>附件</w:t>
      </w:r>
      <w:r>
        <w:rPr>
          <w:rFonts w:hint="eastAsia" w:ascii="宋体" w:hAnsi="宋体" w:eastAsia="宋体" w:cs="宋体"/>
          <w:color w:val="auto"/>
          <w:highlight w:val="none"/>
          <w:lang w:val="en-US" w:eastAsia="zh-CN"/>
        </w:rPr>
        <w:t>2</w:t>
      </w:r>
      <w:r>
        <w:rPr>
          <w:rFonts w:hint="eastAsia" w:ascii="宋体" w:hAnsi="宋体" w:eastAsia="宋体" w:cs="宋体"/>
          <w:color w:val="auto"/>
          <w:highlight w:val="none"/>
        </w:rPr>
        <w:t xml:space="preserve"> 具备履行合同所必需的设备和专业技术能力的书面声明</w:t>
      </w:r>
      <w:bookmarkEnd w:id="301"/>
    </w:p>
    <w:p w14:paraId="7F5DB64C">
      <w:pPr>
        <w:spacing w:line="460" w:lineRule="exact"/>
        <w:ind w:firstLine="492"/>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我单位郑重声明：我单位具备履行本项采购合同所必需的设备和专业技术能力，为履行本项采购合同我公司具备如下主要设备和主要专业技术能力：</w:t>
      </w:r>
    </w:p>
    <w:p w14:paraId="21E09CE3">
      <w:pPr>
        <w:spacing w:line="460" w:lineRule="exact"/>
        <w:ind w:firstLine="492"/>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主要设备有：</w:t>
      </w:r>
      <w:r>
        <w:rPr>
          <w:rFonts w:hint="eastAsia" w:ascii="宋体" w:hAnsi="宋体" w:eastAsia="宋体" w:cs="宋体"/>
          <w:bCs/>
          <w:color w:val="auto"/>
          <w:sz w:val="24"/>
          <w:highlight w:val="none"/>
          <w:u w:val="single"/>
        </w:rPr>
        <w:t xml:space="preserve">      </w:t>
      </w:r>
      <w:r>
        <w:rPr>
          <w:rFonts w:hint="eastAsia" w:ascii="宋体" w:hAnsi="宋体" w:eastAsia="宋体" w:cs="宋体"/>
          <w:bCs/>
          <w:color w:val="auto"/>
          <w:sz w:val="24"/>
          <w:highlight w:val="none"/>
        </w:rPr>
        <w:t>。</w:t>
      </w:r>
    </w:p>
    <w:p w14:paraId="05FEC16D">
      <w:pPr>
        <w:spacing w:line="460" w:lineRule="exact"/>
        <w:ind w:firstLine="492"/>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主要专业技术能力有：</w:t>
      </w:r>
      <w:r>
        <w:rPr>
          <w:rFonts w:hint="eastAsia" w:ascii="宋体" w:hAnsi="宋体" w:eastAsia="宋体" w:cs="宋体"/>
          <w:bCs/>
          <w:color w:val="auto"/>
          <w:sz w:val="24"/>
          <w:highlight w:val="none"/>
          <w:u w:val="single"/>
        </w:rPr>
        <w:t xml:space="preserve">         </w:t>
      </w:r>
      <w:r>
        <w:rPr>
          <w:rFonts w:hint="eastAsia" w:ascii="宋体" w:hAnsi="宋体" w:eastAsia="宋体" w:cs="宋体"/>
          <w:bCs/>
          <w:color w:val="auto"/>
          <w:sz w:val="24"/>
          <w:highlight w:val="none"/>
        </w:rPr>
        <w:t>。</w:t>
      </w:r>
    </w:p>
    <w:p w14:paraId="39437AD3">
      <w:pPr>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br w:type="page"/>
      </w:r>
    </w:p>
    <w:p w14:paraId="132E63A6">
      <w:pPr>
        <w:pStyle w:val="3"/>
        <w:rPr>
          <w:rFonts w:hint="eastAsia" w:ascii="宋体" w:hAnsi="宋体" w:eastAsia="宋体" w:cs="宋体"/>
          <w:color w:val="auto"/>
          <w:highlight w:val="none"/>
        </w:rPr>
      </w:pPr>
      <w:bookmarkStart w:id="302" w:name="_Toc31387"/>
      <w:r>
        <w:rPr>
          <w:rFonts w:hint="eastAsia" w:ascii="宋体" w:hAnsi="宋体" w:eastAsia="宋体" w:cs="宋体"/>
          <w:color w:val="auto"/>
          <w:highlight w:val="none"/>
        </w:rPr>
        <w:t>附件</w:t>
      </w:r>
      <w:r>
        <w:rPr>
          <w:rFonts w:hint="eastAsia" w:ascii="宋体" w:hAnsi="宋体" w:eastAsia="宋体" w:cs="宋体"/>
          <w:color w:val="auto"/>
          <w:highlight w:val="none"/>
          <w:lang w:val="en-US" w:eastAsia="zh-CN"/>
        </w:rPr>
        <w:t>3</w:t>
      </w:r>
      <w:r>
        <w:rPr>
          <w:rFonts w:hint="eastAsia" w:ascii="宋体" w:hAnsi="宋体" w:eastAsia="宋体" w:cs="宋体"/>
          <w:color w:val="auto"/>
          <w:highlight w:val="none"/>
        </w:rPr>
        <w:t xml:space="preserve"> 参加政府采购活动前3年内在经营活动中没有重大违法记录的书面声明</w:t>
      </w:r>
      <w:bookmarkEnd w:id="302"/>
    </w:p>
    <w:p w14:paraId="6F53502D">
      <w:pPr>
        <w:pBdr>
          <w:top w:val="none" w:color="000000" w:sz="0" w:space="0"/>
          <w:left w:val="none" w:color="000000" w:sz="0" w:space="0"/>
          <w:bottom w:val="none" w:color="000000" w:sz="0" w:space="0"/>
          <w:right w:val="none" w:color="000000" w:sz="0" w:space="0"/>
        </w:pBdr>
        <w:spacing w:line="460" w:lineRule="atLeast"/>
        <w:jc w:val="center"/>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w:t>
      </w:r>
    </w:p>
    <w:p w14:paraId="60ED8F2E">
      <w:pPr>
        <w:pBdr>
          <w:top w:val="none" w:color="000000" w:sz="0" w:space="0"/>
          <w:left w:val="none" w:color="000000" w:sz="0" w:space="0"/>
          <w:bottom w:val="none" w:color="000000" w:sz="0" w:space="0"/>
          <w:right w:val="none" w:color="000000" w:sz="0" w:space="0"/>
        </w:pBdr>
        <w:spacing w:line="460" w:lineRule="atLeast"/>
        <w:jc w:val="center"/>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声 明</w:t>
      </w:r>
    </w:p>
    <w:p w14:paraId="2432BE7C">
      <w:pPr>
        <w:pBdr>
          <w:top w:val="none" w:color="000000" w:sz="0" w:space="0"/>
          <w:left w:val="none" w:color="000000" w:sz="0" w:space="0"/>
          <w:bottom w:val="none" w:color="000000" w:sz="0" w:space="0"/>
          <w:right w:val="none" w:color="000000" w:sz="0" w:space="0"/>
        </w:pBdr>
        <w:spacing w:line="460" w:lineRule="atLeas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我单位郑重声明：参加本次政府采购活动前 3 年内，我单位在经营活动中没有因违法经营受到刑事处罚或者责令停产停业、吊销许可证或者执照、较大数额罚款等行政处罚。</w:t>
      </w:r>
    </w:p>
    <w:p w14:paraId="4E6AC6AE">
      <w:pPr>
        <w:rPr>
          <w:rFonts w:hint="eastAsia" w:ascii="宋体" w:hAnsi="宋体" w:eastAsia="宋体" w:cs="宋体"/>
          <w:color w:val="auto"/>
          <w:highlight w:val="none"/>
        </w:rPr>
      </w:pPr>
      <w:r>
        <w:rPr>
          <w:rFonts w:hint="eastAsia" w:ascii="宋体" w:hAnsi="宋体" w:eastAsia="宋体" w:cs="宋体"/>
          <w:color w:val="auto"/>
          <w:highlight w:val="none"/>
        </w:rPr>
        <w:br w:type="page"/>
      </w:r>
    </w:p>
    <w:p w14:paraId="46015A74">
      <w:pPr>
        <w:pStyle w:val="3"/>
        <w:spacing w:line="440" w:lineRule="exact"/>
        <w:rPr>
          <w:rFonts w:hint="eastAsia" w:ascii="宋体" w:hAnsi="宋体" w:eastAsia="宋体" w:cs="宋体"/>
          <w:color w:val="auto"/>
          <w:highlight w:val="none"/>
        </w:rPr>
      </w:pPr>
      <w:bookmarkStart w:id="303" w:name="_Toc961"/>
      <w:bookmarkStart w:id="304" w:name="_Toc5413"/>
      <w:r>
        <w:rPr>
          <w:rFonts w:hint="eastAsia" w:ascii="宋体" w:hAnsi="宋体" w:eastAsia="宋体" w:cs="宋体"/>
          <w:color w:val="auto"/>
          <w:highlight w:val="none"/>
        </w:rPr>
        <w:t>附件</w:t>
      </w:r>
      <w:r>
        <w:rPr>
          <w:rFonts w:hint="eastAsia" w:ascii="宋体" w:hAnsi="宋体" w:eastAsia="宋体" w:cs="宋体"/>
          <w:color w:val="auto"/>
          <w:highlight w:val="none"/>
          <w:lang w:val="en-US" w:eastAsia="zh-CN"/>
        </w:rPr>
        <w:t>4</w:t>
      </w:r>
      <w:r>
        <w:rPr>
          <w:rFonts w:hint="eastAsia" w:ascii="宋体" w:hAnsi="宋体" w:eastAsia="宋体" w:cs="宋体"/>
          <w:color w:val="auto"/>
          <w:highlight w:val="none"/>
        </w:rPr>
        <w:t xml:space="preserve"> </w:t>
      </w:r>
      <w:bookmarkEnd w:id="303"/>
      <w:r>
        <w:rPr>
          <w:rFonts w:hint="eastAsia" w:ascii="宋体" w:hAnsi="宋体" w:eastAsia="宋体" w:cs="宋体"/>
          <w:color w:val="auto"/>
          <w:highlight w:val="none"/>
        </w:rPr>
        <w:t>法人授权书</w:t>
      </w:r>
      <w:bookmarkEnd w:id="304"/>
    </w:p>
    <w:p w14:paraId="074599DA">
      <w:pPr>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苏州信达顺工程建设咨询有限公司</w:t>
      </w:r>
      <w:r>
        <w:rPr>
          <w:rFonts w:hint="eastAsia" w:ascii="宋体" w:hAnsi="宋体" w:eastAsia="宋体" w:cs="宋体"/>
          <w:color w:val="auto"/>
          <w:sz w:val="24"/>
          <w:szCs w:val="24"/>
          <w:highlight w:val="none"/>
        </w:rPr>
        <w:t>：</w:t>
      </w:r>
    </w:p>
    <w:p w14:paraId="348DCB97">
      <w:pPr>
        <w:spacing w:line="44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本授权委托书声明：注册于</w:t>
      </w:r>
      <w:r>
        <w:rPr>
          <w:rFonts w:hint="eastAsia" w:ascii="宋体" w:hAnsi="宋体" w:eastAsia="宋体" w:cs="宋体"/>
          <w:color w:val="auto"/>
          <w:sz w:val="24"/>
          <w:szCs w:val="24"/>
          <w:highlight w:val="none"/>
          <w:u w:val="single"/>
        </w:rPr>
        <w:t xml:space="preserve">     （投标人地址）    </w:t>
      </w:r>
      <w:r>
        <w:rPr>
          <w:rFonts w:hint="eastAsia" w:ascii="宋体" w:hAnsi="宋体" w:eastAsia="宋体" w:cs="宋体"/>
          <w:color w:val="auto"/>
          <w:sz w:val="24"/>
          <w:szCs w:val="24"/>
          <w:highlight w:val="none"/>
        </w:rPr>
        <w:t xml:space="preserve"> 的</w:t>
      </w:r>
      <w:r>
        <w:rPr>
          <w:rFonts w:hint="eastAsia" w:ascii="宋体" w:hAnsi="宋体" w:eastAsia="宋体" w:cs="宋体"/>
          <w:color w:val="auto"/>
          <w:sz w:val="24"/>
          <w:szCs w:val="24"/>
          <w:highlight w:val="none"/>
          <w:u w:val="single"/>
        </w:rPr>
        <w:t xml:space="preserve">      （投标人全称）         </w:t>
      </w:r>
      <w:r>
        <w:rPr>
          <w:rFonts w:hint="eastAsia" w:ascii="宋体" w:hAnsi="宋体" w:eastAsia="宋体" w:cs="宋体"/>
          <w:color w:val="auto"/>
          <w:sz w:val="24"/>
          <w:szCs w:val="24"/>
          <w:highlight w:val="none"/>
        </w:rPr>
        <w:t xml:space="preserve">的  </w:t>
      </w:r>
      <w:r>
        <w:rPr>
          <w:rFonts w:hint="eastAsia" w:ascii="宋体" w:hAnsi="宋体" w:eastAsia="宋体" w:cs="宋体"/>
          <w:color w:val="auto"/>
          <w:sz w:val="24"/>
          <w:szCs w:val="24"/>
          <w:highlight w:val="none"/>
          <w:u w:val="single"/>
        </w:rPr>
        <w:t xml:space="preserve">（法定代表人姓名）  </w:t>
      </w:r>
      <w:r>
        <w:rPr>
          <w:rFonts w:hint="eastAsia" w:ascii="宋体" w:hAnsi="宋体" w:eastAsia="宋体" w:cs="宋体"/>
          <w:color w:val="auto"/>
          <w:sz w:val="24"/>
          <w:szCs w:val="24"/>
          <w:highlight w:val="none"/>
        </w:rPr>
        <w:t>，代表本公司（工厂）授权</w:t>
      </w:r>
      <w:r>
        <w:rPr>
          <w:rFonts w:hint="eastAsia" w:ascii="宋体" w:hAnsi="宋体" w:eastAsia="宋体" w:cs="宋体"/>
          <w:color w:val="auto"/>
          <w:sz w:val="24"/>
          <w:szCs w:val="24"/>
          <w:highlight w:val="none"/>
          <w:u w:val="single"/>
        </w:rPr>
        <w:t xml:space="preserve">   （授权代表姓名）   </w:t>
      </w:r>
      <w:r>
        <w:rPr>
          <w:rFonts w:hint="eastAsia" w:ascii="宋体" w:hAnsi="宋体" w:eastAsia="宋体" w:cs="宋体"/>
          <w:color w:val="auto"/>
          <w:sz w:val="24"/>
          <w:szCs w:val="24"/>
          <w:highlight w:val="none"/>
        </w:rPr>
        <w:t>为本公司（工厂）的合法代理人，就贵方组织的</w:t>
      </w:r>
      <w:r>
        <w:rPr>
          <w:rFonts w:hint="eastAsia" w:ascii="宋体" w:hAnsi="宋体" w:eastAsia="宋体" w:cs="宋体"/>
          <w:color w:val="auto"/>
          <w:sz w:val="24"/>
          <w:szCs w:val="24"/>
          <w:highlight w:val="none"/>
          <w:u w:val="single"/>
          <w:lang w:eastAsia="zh-CN"/>
        </w:rPr>
        <w:t>常熟市梅李人民医院食堂供餐配送服务</w:t>
      </w:r>
      <w:r>
        <w:rPr>
          <w:rFonts w:hint="eastAsia" w:ascii="宋体" w:hAnsi="宋体" w:eastAsia="宋体" w:cs="宋体"/>
          <w:color w:val="auto"/>
          <w:sz w:val="24"/>
          <w:szCs w:val="24"/>
          <w:highlight w:val="none"/>
          <w:u w:val="single"/>
        </w:rPr>
        <w:t xml:space="preserve"> （项目编号：</w:t>
      </w:r>
      <w:r>
        <w:rPr>
          <w:rFonts w:hint="eastAsia" w:ascii="宋体" w:hAnsi="宋体" w:cs="宋体"/>
          <w:color w:val="auto"/>
          <w:sz w:val="24"/>
          <w:szCs w:val="24"/>
          <w:highlight w:val="none"/>
          <w:u w:val="single"/>
          <w:lang w:eastAsia="zh-CN"/>
        </w:rPr>
        <w:t>JSZC-320581-SZDS-G2026-0003</w:t>
      </w:r>
      <w:r>
        <w:rPr>
          <w:rFonts w:hint="eastAsia" w:ascii="宋体" w:hAnsi="宋体" w:eastAsia="宋体" w:cs="宋体"/>
          <w:color w:val="auto"/>
          <w:sz w:val="24"/>
          <w:szCs w:val="24"/>
          <w:highlight w:val="none"/>
          <w:u w:val="single"/>
        </w:rPr>
        <w:t>）</w:t>
      </w:r>
      <w:r>
        <w:rPr>
          <w:rFonts w:hint="eastAsia" w:ascii="宋体" w:hAnsi="宋体" w:eastAsia="宋体" w:cs="宋体"/>
          <w:color w:val="auto"/>
          <w:sz w:val="24"/>
          <w:szCs w:val="24"/>
          <w:highlight w:val="none"/>
        </w:rPr>
        <w:t>的采购活动，以本公司（工厂）名义处理一切与之有关的事务。，以本公司名义处理一切与之有关的事务。</w:t>
      </w:r>
    </w:p>
    <w:p w14:paraId="6670F7A2">
      <w:pPr>
        <w:spacing w:line="44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本授权书于年月日生效，被授权人无转委权。</w:t>
      </w:r>
    </w:p>
    <w:p w14:paraId="0B9F302B">
      <w:pPr>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特此声明。</w:t>
      </w:r>
    </w:p>
    <w:p w14:paraId="22BF8996">
      <w:pPr>
        <w:spacing w:line="440" w:lineRule="exact"/>
        <w:rPr>
          <w:rFonts w:hint="eastAsia" w:ascii="宋体" w:hAnsi="宋体" w:eastAsia="宋体" w:cs="宋体"/>
          <w:color w:val="auto"/>
          <w:sz w:val="24"/>
          <w:szCs w:val="24"/>
          <w:highlight w:val="none"/>
        </w:rPr>
      </w:pPr>
    </w:p>
    <w:p w14:paraId="0E8459BC">
      <w:pPr>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投标人</w:t>
      </w:r>
      <w:r>
        <w:rPr>
          <w:rFonts w:hint="eastAsia" w:ascii="宋体" w:hAnsi="宋体" w:eastAsia="宋体" w:cs="宋体"/>
          <w:bCs/>
          <w:color w:val="auto"/>
          <w:sz w:val="24"/>
          <w:szCs w:val="24"/>
          <w:highlight w:val="none"/>
        </w:rPr>
        <w:t>名称：</w:t>
      </w:r>
      <w:r>
        <w:rPr>
          <w:rFonts w:hint="eastAsia" w:ascii="宋体" w:hAnsi="宋体" w:eastAsia="宋体" w:cs="宋体"/>
          <w:color w:val="auto"/>
          <w:sz w:val="24"/>
          <w:szCs w:val="24"/>
          <w:highlight w:val="none"/>
          <w:u w:val="single"/>
        </w:rPr>
        <w:t>（加盖CA电子公章）</w:t>
      </w:r>
    </w:p>
    <w:p w14:paraId="24F4A583">
      <w:pPr>
        <w:rPr>
          <w:rFonts w:hint="eastAsia" w:ascii="宋体" w:hAnsi="宋体" w:eastAsia="宋体" w:cs="宋体"/>
          <w:bCs/>
          <w:color w:val="auto"/>
          <w:sz w:val="24"/>
          <w:szCs w:val="24"/>
          <w:highlight w:val="none"/>
          <w:u w:val="single"/>
        </w:rPr>
      </w:pPr>
      <w:r>
        <w:rPr>
          <w:rFonts w:hint="eastAsia" w:ascii="宋体" w:hAnsi="宋体" w:eastAsia="宋体" w:cs="宋体"/>
          <w:bCs/>
          <w:color w:val="auto"/>
          <w:sz w:val="24"/>
          <w:szCs w:val="24"/>
          <w:highlight w:val="none"/>
        </w:rPr>
        <w:t>地      址：</w:t>
      </w:r>
      <w:r>
        <w:rPr>
          <w:rFonts w:hint="eastAsia" w:ascii="宋体" w:hAnsi="宋体" w:eastAsia="宋体" w:cs="宋体"/>
          <w:bCs/>
          <w:color w:val="auto"/>
          <w:sz w:val="24"/>
          <w:szCs w:val="24"/>
          <w:highlight w:val="none"/>
          <w:u w:val="single"/>
        </w:rPr>
        <w:t xml:space="preserve">                   </w:t>
      </w:r>
    </w:p>
    <w:p w14:paraId="7491FA69">
      <w:pPr>
        <w:rPr>
          <w:rFonts w:hint="eastAsia" w:ascii="宋体" w:hAnsi="宋体" w:eastAsia="宋体" w:cs="宋体"/>
          <w:bCs/>
          <w:color w:val="auto"/>
          <w:sz w:val="24"/>
          <w:szCs w:val="24"/>
          <w:highlight w:val="none"/>
        </w:rPr>
      </w:pPr>
    </w:p>
    <w:p w14:paraId="276175C4">
      <w:pP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法定代表人姓名：</w:t>
      </w:r>
      <w:r>
        <w:rPr>
          <w:rFonts w:hint="eastAsia" w:ascii="宋体" w:hAnsi="宋体" w:eastAsia="宋体" w:cs="宋体"/>
          <w:bCs/>
          <w:color w:val="auto"/>
          <w:sz w:val="24"/>
          <w:szCs w:val="24"/>
          <w:highlight w:val="none"/>
          <w:u w:val="single"/>
        </w:rPr>
        <w:t xml:space="preserve">                   </w:t>
      </w:r>
    </w:p>
    <w:p w14:paraId="40EBA5FF">
      <w:pP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公民身份号码：</w:t>
      </w:r>
      <w:r>
        <w:rPr>
          <w:rFonts w:hint="eastAsia" w:ascii="宋体" w:hAnsi="宋体" w:eastAsia="宋体" w:cs="宋体"/>
          <w:bCs/>
          <w:color w:val="auto"/>
          <w:sz w:val="24"/>
          <w:szCs w:val="24"/>
          <w:highlight w:val="none"/>
          <w:u w:val="single"/>
        </w:rPr>
        <w:t xml:space="preserve">                   </w:t>
      </w:r>
    </w:p>
    <w:p w14:paraId="21FAE2F3">
      <w:pP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职      务：</w:t>
      </w:r>
      <w:r>
        <w:rPr>
          <w:rFonts w:hint="eastAsia" w:ascii="宋体" w:hAnsi="宋体" w:eastAsia="宋体" w:cs="宋体"/>
          <w:bCs/>
          <w:color w:val="auto"/>
          <w:sz w:val="24"/>
          <w:szCs w:val="24"/>
          <w:highlight w:val="none"/>
          <w:u w:val="single"/>
        </w:rPr>
        <w:t xml:space="preserve">                   </w:t>
      </w:r>
    </w:p>
    <w:p w14:paraId="2BFBBA22">
      <w:pPr>
        <w:rPr>
          <w:rFonts w:hint="eastAsia" w:ascii="宋体" w:hAnsi="宋体" w:eastAsia="宋体" w:cs="宋体"/>
          <w:bCs/>
          <w:color w:val="auto"/>
          <w:sz w:val="24"/>
          <w:szCs w:val="24"/>
          <w:highlight w:val="none"/>
        </w:rPr>
      </w:pPr>
    </w:p>
    <w:p w14:paraId="2283EF8C">
      <w:pP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授权代表姓名：</w:t>
      </w:r>
      <w:r>
        <w:rPr>
          <w:rFonts w:hint="eastAsia" w:ascii="宋体" w:hAnsi="宋体" w:eastAsia="宋体" w:cs="宋体"/>
          <w:bCs/>
          <w:color w:val="auto"/>
          <w:sz w:val="24"/>
          <w:szCs w:val="24"/>
          <w:highlight w:val="none"/>
          <w:u w:val="single"/>
        </w:rPr>
        <w:t xml:space="preserve">                   </w:t>
      </w:r>
    </w:p>
    <w:p w14:paraId="4002F537">
      <w:pP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公民身份号码：</w:t>
      </w:r>
      <w:r>
        <w:rPr>
          <w:rFonts w:hint="eastAsia" w:ascii="宋体" w:hAnsi="宋体" w:eastAsia="宋体" w:cs="宋体"/>
          <w:bCs/>
          <w:color w:val="auto"/>
          <w:sz w:val="24"/>
          <w:szCs w:val="24"/>
          <w:highlight w:val="none"/>
          <w:u w:val="single"/>
        </w:rPr>
        <w:t xml:space="preserve">                   </w:t>
      </w:r>
    </w:p>
    <w:p w14:paraId="2BA604C8">
      <w:pP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职      务：</w:t>
      </w:r>
      <w:r>
        <w:rPr>
          <w:rFonts w:hint="eastAsia" w:ascii="宋体" w:hAnsi="宋体" w:eastAsia="宋体" w:cs="宋体"/>
          <w:bCs/>
          <w:color w:val="auto"/>
          <w:sz w:val="24"/>
          <w:szCs w:val="24"/>
          <w:highlight w:val="none"/>
          <w:u w:val="single"/>
        </w:rPr>
        <w:t xml:space="preserve">                   </w:t>
      </w:r>
    </w:p>
    <w:p w14:paraId="3D0D0830">
      <w:pPr>
        <w:rPr>
          <w:rFonts w:hint="eastAsia" w:ascii="宋体" w:hAnsi="宋体" w:eastAsia="宋体" w:cs="宋体"/>
          <w:b/>
          <w:color w:val="auto"/>
          <w:sz w:val="24"/>
          <w:szCs w:val="24"/>
          <w:highlight w:val="none"/>
        </w:rPr>
      </w:pPr>
    </w:p>
    <w:p w14:paraId="373B6B1C">
      <w:pPr>
        <w:spacing w:line="440" w:lineRule="exact"/>
        <w:rPr>
          <w:rFonts w:hint="eastAsia" w:ascii="宋体" w:hAnsi="宋体" w:eastAsia="宋体" w:cs="宋体"/>
          <w:b/>
          <w:bCs/>
          <w:color w:val="auto"/>
          <w:sz w:val="24"/>
          <w:szCs w:val="24"/>
          <w:highlight w:val="none"/>
        </w:rPr>
      </w:pPr>
      <w:r>
        <w:rPr>
          <w:rFonts w:hint="eastAsia" w:ascii="宋体" w:hAnsi="宋体" w:eastAsia="宋体" w:cs="宋体"/>
          <w:b/>
          <w:color w:val="auto"/>
          <w:sz w:val="24"/>
          <w:highlight w:val="none"/>
        </w:rPr>
        <w:t>注：如法定代表人签署投标文件的，“法人授权书”可不提供，但需提供法人代表人身份证正反面及营业执照扫描件。</w:t>
      </w:r>
    </w:p>
    <w:p w14:paraId="5FD61A13">
      <w:pPr>
        <w:rPr>
          <w:rFonts w:hint="eastAsia" w:ascii="宋体" w:hAnsi="宋体" w:eastAsia="宋体" w:cs="宋体"/>
          <w:color w:val="auto"/>
          <w:highlight w:val="none"/>
        </w:rPr>
      </w:pPr>
      <w:r>
        <w:rPr>
          <w:rFonts w:hint="eastAsia" w:ascii="宋体" w:hAnsi="宋体" w:eastAsia="宋体" w:cs="宋体"/>
          <w:color w:val="auto"/>
          <w:highlight w:val="none"/>
        </w:rPr>
        <w:br w:type="page"/>
      </w:r>
    </w:p>
    <w:p w14:paraId="34F52025">
      <w:pPr>
        <w:pStyle w:val="3"/>
        <w:rPr>
          <w:rFonts w:hint="eastAsia" w:ascii="宋体" w:hAnsi="宋体" w:eastAsia="宋体" w:cs="宋体"/>
          <w:color w:val="auto"/>
          <w:highlight w:val="none"/>
        </w:rPr>
      </w:pPr>
      <w:bookmarkStart w:id="305" w:name="_Toc12327"/>
      <w:r>
        <w:rPr>
          <w:rFonts w:hint="eastAsia" w:ascii="宋体" w:hAnsi="宋体" w:eastAsia="宋体" w:cs="宋体"/>
          <w:color w:val="auto"/>
          <w:highlight w:val="none"/>
        </w:rPr>
        <w:t>附件</w:t>
      </w:r>
      <w:r>
        <w:rPr>
          <w:rFonts w:hint="eastAsia" w:ascii="宋体" w:hAnsi="宋体" w:eastAsia="宋体" w:cs="宋体"/>
          <w:color w:val="auto"/>
          <w:highlight w:val="none"/>
          <w:lang w:val="en-US" w:eastAsia="zh-CN"/>
        </w:rPr>
        <w:t>5</w:t>
      </w:r>
      <w:r>
        <w:rPr>
          <w:rFonts w:hint="eastAsia" w:ascii="宋体" w:hAnsi="宋体" w:eastAsia="宋体" w:cs="宋体"/>
          <w:color w:val="auto"/>
          <w:highlight w:val="none"/>
        </w:rPr>
        <w:t xml:space="preserve"> 投标函</w:t>
      </w:r>
      <w:bookmarkEnd w:id="305"/>
    </w:p>
    <w:p w14:paraId="0D42CD43">
      <w:pPr>
        <w:spacing w:line="46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致：</w:t>
      </w:r>
      <w:r>
        <w:rPr>
          <w:rFonts w:hint="eastAsia" w:ascii="宋体" w:hAnsi="宋体" w:eastAsia="宋体" w:cs="宋体"/>
          <w:color w:val="auto"/>
          <w:sz w:val="24"/>
          <w:szCs w:val="24"/>
          <w:highlight w:val="none"/>
          <w:lang w:eastAsia="zh-CN"/>
        </w:rPr>
        <w:t>苏州信达顺工程建设咨询有限公司</w:t>
      </w:r>
    </w:p>
    <w:p w14:paraId="14025527">
      <w:pPr>
        <w:spacing w:line="440" w:lineRule="exact"/>
        <w:ind w:firstLine="480"/>
        <w:jc w:val="left"/>
        <w:rPr>
          <w:rFonts w:hint="eastAsia" w:ascii="宋体" w:hAnsi="宋体" w:eastAsia="宋体" w:cs="宋体"/>
          <w:color w:val="auto"/>
          <w:kern w:val="0"/>
          <w:sz w:val="24"/>
          <w:szCs w:val="24"/>
          <w:highlight w:val="none"/>
        </w:rPr>
      </w:pPr>
      <w:r>
        <w:rPr>
          <w:rFonts w:hint="eastAsia" w:ascii="宋体" w:hAnsi="宋体" w:eastAsia="宋体" w:cs="宋体"/>
          <w:color w:val="auto"/>
          <w:sz w:val="24"/>
          <w:szCs w:val="24"/>
          <w:highlight w:val="none"/>
        </w:rPr>
        <w:t>根据贵方的</w:t>
      </w:r>
      <w:r>
        <w:rPr>
          <w:rFonts w:hint="eastAsia" w:ascii="宋体" w:hAnsi="宋体" w:eastAsia="宋体" w:cs="宋体"/>
          <w:b/>
          <w:color w:val="auto"/>
          <w:sz w:val="24"/>
          <w:szCs w:val="24"/>
          <w:highlight w:val="none"/>
          <w:u w:val="single"/>
          <w:lang w:eastAsia="zh-CN"/>
        </w:rPr>
        <w:t>常熟市梅李人民医院食堂供餐配送服务</w:t>
      </w:r>
      <w:r>
        <w:rPr>
          <w:rFonts w:hint="eastAsia" w:ascii="宋体" w:hAnsi="宋体" w:eastAsia="宋体" w:cs="宋体"/>
          <w:color w:val="auto"/>
          <w:sz w:val="24"/>
          <w:szCs w:val="24"/>
          <w:highlight w:val="none"/>
        </w:rPr>
        <w:t>项目招标文件（项目编号：</w:t>
      </w:r>
      <w:r>
        <w:rPr>
          <w:rFonts w:hint="eastAsia" w:ascii="宋体" w:hAnsi="宋体" w:cs="宋体"/>
          <w:color w:val="auto"/>
          <w:sz w:val="24"/>
          <w:szCs w:val="24"/>
          <w:highlight w:val="none"/>
          <w:lang w:eastAsia="zh-CN"/>
        </w:rPr>
        <w:t>JSZC-320581-SZDS-G2026-0003</w:t>
      </w:r>
      <w:r>
        <w:rPr>
          <w:rFonts w:hint="eastAsia" w:ascii="宋体" w:hAnsi="宋体" w:eastAsia="宋体" w:cs="宋体"/>
          <w:color w:val="auto"/>
          <w:sz w:val="24"/>
          <w:szCs w:val="24"/>
          <w:highlight w:val="none"/>
        </w:rPr>
        <w:t>），</w:t>
      </w:r>
      <w:r>
        <w:rPr>
          <w:rFonts w:hint="eastAsia" w:ascii="宋体" w:hAnsi="宋体" w:eastAsia="宋体" w:cs="宋体"/>
          <w:color w:val="auto"/>
          <w:kern w:val="0"/>
          <w:sz w:val="24"/>
          <w:szCs w:val="24"/>
          <w:highlight w:val="none"/>
        </w:rPr>
        <w:t>正式授权下述签字人______(姓名)代表我方______________（投标人的名称），全权处理本次项目投标的有关事宜。</w:t>
      </w:r>
    </w:p>
    <w:p w14:paraId="2FD8F1A6">
      <w:pPr>
        <w:spacing w:line="440" w:lineRule="exact"/>
        <w:ind w:firstLine="48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据此函，__________签字人兹宣布同意如下：</w:t>
      </w:r>
    </w:p>
    <w:p w14:paraId="4FCFEB57">
      <w:pPr>
        <w:pStyle w:val="174"/>
        <w:spacing w:before="0" w:after="0" w:line="420" w:lineRule="exact"/>
        <w:rPr>
          <w:rFonts w:hint="eastAsia" w:ascii="宋体" w:hAnsi="宋体" w:eastAsia="宋体" w:cs="宋体"/>
          <w:color w:val="auto"/>
          <w:szCs w:val="21"/>
          <w:highlight w:val="none"/>
        </w:rPr>
      </w:pPr>
      <w:bookmarkStart w:id="306" w:name="_Toc496528251"/>
      <w:bookmarkStart w:id="307" w:name="_Toc23143"/>
      <w:bookmarkStart w:id="308" w:name="_Toc495934670"/>
      <w:bookmarkStart w:id="309" w:name="_Toc496180957"/>
      <w:bookmarkStart w:id="310" w:name="_Toc2220"/>
      <w:r>
        <w:rPr>
          <w:rFonts w:hint="eastAsia" w:ascii="宋体" w:hAnsi="宋体" w:eastAsia="宋体" w:cs="宋体"/>
          <w:color w:val="auto"/>
          <w:szCs w:val="21"/>
          <w:highlight w:val="none"/>
        </w:rPr>
        <w:t>1.按招标文件规定的各项要求，向买方提供所需服务（包含与服务相关的货物）。</w:t>
      </w:r>
    </w:p>
    <w:p w14:paraId="78374FA7">
      <w:pPr>
        <w:pStyle w:val="174"/>
        <w:spacing w:before="0" w:after="0" w:line="4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2.我们完全理解贵方不一定将合同授予最低报价的投标人。</w:t>
      </w:r>
    </w:p>
    <w:p w14:paraId="7922F21A">
      <w:pPr>
        <w:pStyle w:val="174"/>
        <w:spacing w:before="0" w:after="0" w:line="4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3.我们已详细审核全部招标文件及其有效补充文件，我们知道必须放弃提出含糊不清或误解问题的权利。</w:t>
      </w:r>
    </w:p>
    <w:p w14:paraId="70118769">
      <w:pPr>
        <w:pStyle w:val="174"/>
        <w:spacing w:before="0" w:after="0" w:line="4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4.我们同意从规定的开标日期起遵循本投标文件，并在规定的投标有效期期满之前均具有约束力。</w:t>
      </w:r>
    </w:p>
    <w:p w14:paraId="207126DD">
      <w:pPr>
        <w:pStyle w:val="174"/>
        <w:spacing w:before="0" w:after="0" w:line="4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5.同意向贵方提供贵方可能另外要求的与投标有关的任何证据或资料，并保证我方已提供和将要提供的文件是真实的、准确的。</w:t>
      </w:r>
    </w:p>
    <w:p w14:paraId="3E5DB9FB">
      <w:pPr>
        <w:pStyle w:val="174"/>
        <w:spacing w:before="0" w:after="0" w:line="4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6.一旦我方中标,我方将根据招标文件的规定，严格履行合同的责任和义务,并保证在招标文件规定的时间完成项目，交付买方验收、使用。</w:t>
      </w:r>
    </w:p>
    <w:p w14:paraId="590E651C">
      <w:pPr>
        <w:pStyle w:val="174"/>
        <w:spacing w:before="0" w:after="0" w:line="4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7.与本投标有关的正式通讯地址为：</w:t>
      </w:r>
    </w:p>
    <w:p w14:paraId="4AE73010">
      <w:pPr>
        <w:pStyle w:val="174"/>
        <w:spacing w:before="0" w:after="0" w:line="420" w:lineRule="exact"/>
        <w:ind w:left="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地          址：</w:t>
      </w:r>
    </w:p>
    <w:p w14:paraId="071156C0">
      <w:pPr>
        <w:pStyle w:val="174"/>
        <w:spacing w:before="0" w:after="0" w:line="420" w:lineRule="exact"/>
        <w:ind w:left="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邮          编：</w:t>
      </w:r>
    </w:p>
    <w:p w14:paraId="5B2EC3F5">
      <w:pPr>
        <w:pStyle w:val="174"/>
        <w:spacing w:before="0" w:after="0" w:line="420" w:lineRule="exact"/>
        <w:ind w:left="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电          话：</w:t>
      </w:r>
    </w:p>
    <w:p w14:paraId="36F3C00E">
      <w:pPr>
        <w:pStyle w:val="174"/>
        <w:spacing w:before="0" w:after="0" w:line="420" w:lineRule="exact"/>
        <w:ind w:left="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传          真：</w:t>
      </w:r>
    </w:p>
    <w:p w14:paraId="33C27D8D">
      <w:pPr>
        <w:pStyle w:val="174"/>
        <w:spacing w:before="0" w:after="0" w:line="420" w:lineRule="exact"/>
        <w:ind w:left="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投标人开户行：</w:t>
      </w:r>
    </w:p>
    <w:p w14:paraId="05FB208E">
      <w:pPr>
        <w:pStyle w:val="174"/>
        <w:spacing w:before="0" w:after="0" w:line="420" w:lineRule="exact"/>
        <w:ind w:left="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账          号： </w:t>
      </w:r>
    </w:p>
    <w:p w14:paraId="215C5BF2">
      <w:pPr>
        <w:pStyle w:val="174"/>
        <w:spacing w:before="0" w:after="0" w:line="420" w:lineRule="exact"/>
        <w:ind w:left="420"/>
        <w:rPr>
          <w:rFonts w:hint="eastAsia" w:ascii="宋体" w:hAnsi="宋体" w:eastAsia="宋体" w:cs="宋体"/>
          <w:b/>
          <w:bCs/>
          <w:color w:val="auto"/>
          <w:sz w:val="28"/>
          <w:szCs w:val="28"/>
          <w:highlight w:val="none"/>
        </w:rPr>
      </w:pPr>
      <w:r>
        <w:rPr>
          <w:rFonts w:hint="eastAsia" w:ascii="宋体" w:hAnsi="宋体" w:eastAsia="宋体" w:cs="宋体"/>
          <w:color w:val="auto"/>
          <w:szCs w:val="21"/>
          <w:highlight w:val="none"/>
        </w:rPr>
        <w:t>日           期：________年____月____日</w:t>
      </w:r>
      <w:r>
        <w:rPr>
          <w:rFonts w:hint="eastAsia" w:ascii="宋体" w:hAnsi="宋体" w:eastAsia="宋体" w:cs="宋体"/>
          <w:b/>
          <w:bCs/>
          <w:color w:val="auto"/>
          <w:sz w:val="28"/>
          <w:szCs w:val="28"/>
          <w:highlight w:val="none"/>
        </w:rPr>
        <w:br w:type="page"/>
      </w:r>
    </w:p>
    <w:p w14:paraId="4F67F996">
      <w:pPr>
        <w:keepNext/>
        <w:jc w:val="center"/>
        <w:outlineLvl w:val="1"/>
        <w:rPr>
          <w:rFonts w:hint="eastAsia" w:ascii="宋体" w:hAnsi="宋体" w:eastAsia="宋体" w:cs="宋体"/>
          <w:b/>
          <w:bCs/>
          <w:color w:val="auto"/>
          <w:sz w:val="28"/>
          <w:szCs w:val="28"/>
          <w:highlight w:val="none"/>
        </w:rPr>
      </w:pPr>
      <w:bookmarkStart w:id="311" w:name="_Toc19376"/>
      <w:r>
        <w:rPr>
          <w:rFonts w:hint="eastAsia" w:ascii="宋体" w:hAnsi="宋体" w:eastAsia="宋体" w:cs="宋体"/>
          <w:b/>
          <w:bCs/>
          <w:color w:val="auto"/>
          <w:sz w:val="28"/>
          <w:szCs w:val="28"/>
          <w:highlight w:val="none"/>
        </w:rPr>
        <w:t>附件</w:t>
      </w:r>
      <w:bookmarkEnd w:id="306"/>
      <w:bookmarkEnd w:id="307"/>
      <w:bookmarkEnd w:id="308"/>
      <w:bookmarkEnd w:id="309"/>
      <w:r>
        <w:rPr>
          <w:rFonts w:hint="eastAsia" w:ascii="宋体" w:hAnsi="宋体" w:eastAsia="宋体" w:cs="宋体"/>
          <w:b/>
          <w:bCs/>
          <w:color w:val="auto"/>
          <w:sz w:val="28"/>
          <w:szCs w:val="28"/>
          <w:highlight w:val="none"/>
          <w:lang w:val="en-US" w:eastAsia="zh-CN"/>
        </w:rPr>
        <w:t>6</w:t>
      </w:r>
      <w:r>
        <w:rPr>
          <w:rFonts w:hint="eastAsia" w:ascii="宋体" w:hAnsi="宋体" w:eastAsia="宋体" w:cs="宋体"/>
          <w:b/>
          <w:bCs/>
          <w:color w:val="auto"/>
          <w:sz w:val="28"/>
          <w:szCs w:val="28"/>
          <w:highlight w:val="none"/>
        </w:rPr>
        <w:t xml:space="preserve"> 中小企业声明函</w:t>
      </w:r>
      <w:bookmarkEnd w:id="310"/>
      <w:bookmarkEnd w:id="311"/>
    </w:p>
    <w:p w14:paraId="216CD935">
      <w:pPr>
        <w:spacing w:line="360" w:lineRule="auto"/>
        <w:ind w:firstLine="480" w:firstLineChars="200"/>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本公司郑重声明，根据《政府采购促进中小企业发展管理办法》（财库[2020]46号）的规定，本公司参加</w:t>
      </w:r>
      <w:r>
        <w:rPr>
          <w:rFonts w:hint="eastAsia" w:ascii="宋体" w:hAnsi="宋体" w:eastAsia="宋体" w:cs="宋体"/>
          <w:color w:val="auto"/>
          <w:sz w:val="24"/>
          <w:szCs w:val="24"/>
          <w:highlight w:val="none"/>
          <w:u w:val="single"/>
          <w:lang w:eastAsia="zh-CN"/>
        </w:rPr>
        <w:t>常熟市梅李人民医院</w:t>
      </w:r>
      <w:r>
        <w:rPr>
          <w:rFonts w:hint="eastAsia" w:ascii="宋体" w:hAnsi="宋体" w:eastAsia="宋体" w:cs="宋体"/>
          <w:color w:val="auto"/>
          <w:sz w:val="24"/>
          <w:szCs w:val="24"/>
          <w:highlight w:val="none"/>
          <w:lang w:val="zh-CN"/>
        </w:rPr>
        <w:t>的</w:t>
      </w:r>
      <w:r>
        <w:rPr>
          <w:rFonts w:hint="eastAsia" w:ascii="宋体" w:hAnsi="宋体" w:eastAsia="宋体" w:cs="宋体"/>
          <w:color w:val="auto"/>
          <w:sz w:val="24"/>
          <w:szCs w:val="24"/>
          <w:highlight w:val="none"/>
          <w:u w:val="single"/>
          <w:lang w:eastAsia="zh-CN"/>
        </w:rPr>
        <w:t>常熟市梅李人民医院食堂供餐配送服务</w:t>
      </w:r>
      <w:r>
        <w:rPr>
          <w:rFonts w:hint="eastAsia" w:ascii="宋体" w:hAnsi="宋体" w:eastAsia="宋体" w:cs="宋体"/>
          <w:color w:val="auto"/>
          <w:sz w:val="24"/>
          <w:szCs w:val="21"/>
          <w:highlight w:val="none"/>
        </w:rPr>
        <w:t>采购活动，服务全部由符合政策要求的中小企业承接。相关企业的具体情况如下：</w:t>
      </w:r>
    </w:p>
    <w:p w14:paraId="6F42388E">
      <w:pPr>
        <w:widowControl/>
        <w:spacing w:line="360" w:lineRule="auto"/>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w:t>
      </w:r>
      <w:r>
        <w:rPr>
          <w:rFonts w:hint="eastAsia" w:ascii="宋体" w:hAnsi="宋体" w:eastAsia="宋体" w:cs="宋体"/>
          <w:color w:val="auto"/>
          <w:sz w:val="24"/>
          <w:szCs w:val="24"/>
          <w:highlight w:val="none"/>
          <w:u w:val="single"/>
          <w:lang w:eastAsia="zh-CN"/>
        </w:rPr>
        <w:t>常熟市梅李人民医院食堂供餐配送服务</w:t>
      </w:r>
      <w:r>
        <w:rPr>
          <w:rFonts w:hint="eastAsia" w:ascii="宋体" w:hAnsi="宋体" w:eastAsia="宋体" w:cs="宋体"/>
          <w:color w:val="auto"/>
          <w:kern w:val="0"/>
          <w:sz w:val="24"/>
          <w:szCs w:val="24"/>
          <w:highlight w:val="none"/>
        </w:rPr>
        <w:t>，属于</w:t>
      </w:r>
      <w:r>
        <w:rPr>
          <w:rFonts w:hint="eastAsia" w:ascii="宋体" w:hAnsi="宋体" w:eastAsia="宋体" w:cs="宋体"/>
          <w:color w:val="auto"/>
          <w:kern w:val="0"/>
          <w:sz w:val="24"/>
          <w:szCs w:val="24"/>
          <w:highlight w:val="none"/>
          <w:u w:val="single"/>
          <w:lang w:eastAsia="zh-CN"/>
        </w:rPr>
        <w:t>餐饮业</w:t>
      </w:r>
      <w:r>
        <w:rPr>
          <w:rFonts w:hint="eastAsia" w:ascii="宋体" w:hAnsi="宋体" w:eastAsia="宋体" w:cs="宋体"/>
          <w:color w:val="auto"/>
          <w:kern w:val="0"/>
          <w:sz w:val="24"/>
          <w:szCs w:val="24"/>
          <w:highlight w:val="none"/>
        </w:rPr>
        <w:t>行业；承接企业为</w:t>
      </w:r>
      <w:r>
        <w:rPr>
          <w:rFonts w:hint="eastAsia" w:ascii="宋体" w:hAnsi="宋体" w:eastAsia="宋体" w:cs="宋体"/>
          <w:color w:val="auto"/>
          <w:kern w:val="0"/>
          <w:sz w:val="24"/>
          <w:szCs w:val="24"/>
          <w:highlight w:val="none"/>
          <w:u w:val="single"/>
        </w:rPr>
        <w:t>（企业名称）</w:t>
      </w:r>
      <w:r>
        <w:rPr>
          <w:rFonts w:hint="eastAsia" w:ascii="宋体" w:hAnsi="宋体" w:eastAsia="宋体" w:cs="宋体"/>
          <w:color w:val="auto"/>
          <w:kern w:val="0"/>
          <w:sz w:val="24"/>
          <w:szCs w:val="24"/>
          <w:highlight w:val="none"/>
        </w:rPr>
        <w:t>，</w:t>
      </w:r>
      <w:r>
        <w:rPr>
          <w:rFonts w:hint="eastAsia" w:ascii="宋体" w:hAnsi="宋体" w:eastAsia="宋体" w:cs="宋体"/>
          <w:color w:val="auto"/>
          <w:sz w:val="24"/>
          <w:szCs w:val="24"/>
          <w:highlight w:val="none"/>
        </w:rPr>
        <w:t>从业人员</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人，营业收入为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万元，资产总额为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万元，</w:t>
      </w:r>
      <w:r>
        <w:rPr>
          <w:rFonts w:hint="eastAsia" w:ascii="宋体" w:hAnsi="宋体" w:eastAsia="宋体" w:cs="宋体"/>
          <w:color w:val="auto"/>
          <w:kern w:val="0"/>
          <w:sz w:val="24"/>
          <w:szCs w:val="24"/>
          <w:highlight w:val="none"/>
        </w:rPr>
        <w:t>属于</w:t>
      </w:r>
      <w:r>
        <w:rPr>
          <w:rFonts w:hint="eastAsia" w:ascii="宋体" w:hAnsi="宋体" w:eastAsia="宋体" w:cs="宋体"/>
          <w:color w:val="auto"/>
          <w:kern w:val="0"/>
          <w:sz w:val="24"/>
          <w:szCs w:val="24"/>
          <w:highlight w:val="none"/>
          <w:u w:val="single"/>
        </w:rPr>
        <w:t>（中型企业、小型企业、微型企业）</w:t>
      </w:r>
      <w:r>
        <w:rPr>
          <w:rFonts w:hint="eastAsia" w:ascii="宋体" w:hAnsi="宋体" w:eastAsia="宋体" w:cs="宋体"/>
          <w:color w:val="auto"/>
          <w:kern w:val="0"/>
          <w:sz w:val="24"/>
          <w:szCs w:val="24"/>
          <w:highlight w:val="none"/>
        </w:rPr>
        <w:t>。</w:t>
      </w:r>
    </w:p>
    <w:p w14:paraId="26FF5F78">
      <w:pPr>
        <w:widowControl/>
        <w:spacing w:line="360" w:lineRule="auto"/>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以上企业，不属于大企业的分支机构，不存在控股股东为大企业的情形，也不存在与大企业的负责人为同一人的情形。</w:t>
      </w:r>
    </w:p>
    <w:p w14:paraId="314EE239">
      <w:pPr>
        <w:widowControl/>
        <w:spacing w:line="360" w:lineRule="auto"/>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本企业对上述声明内容的真实性负责。如有虚假，将依法承担相应责任。</w:t>
      </w:r>
    </w:p>
    <w:p w14:paraId="24C6965C">
      <w:pPr>
        <w:pStyle w:val="19"/>
        <w:spacing w:before="55" w:line="560" w:lineRule="exact"/>
        <w:ind w:right="414" w:firstLine="472" w:firstLineChars="200"/>
        <w:rPr>
          <w:rFonts w:hint="eastAsia" w:ascii="宋体" w:hAnsi="宋体" w:eastAsia="宋体" w:cs="宋体"/>
          <w:color w:val="auto"/>
          <w:spacing w:val="-2"/>
          <w:sz w:val="24"/>
          <w:szCs w:val="24"/>
          <w:highlight w:val="none"/>
        </w:rPr>
      </w:pPr>
    </w:p>
    <w:p w14:paraId="7F342680">
      <w:pPr>
        <w:pStyle w:val="19"/>
        <w:spacing w:before="35" w:line="440" w:lineRule="exact"/>
        <w:ind w:left="4060" w:right="2166" w:firstLine="358" w:firstLineChars="152"/>
        <w:rPr>
          <w:rFonts w:hint="eastAsia" w:ascii="宋体" w:hAnsi="宋体" w:eastAsia="宋体" w:cs="宋体"/>
          <w:color w:val="auto"/>
          <w:spacing w:val="-2"/>
          <w:sz w:val="24"/>
          <w:szCs w:val="24"/>
          <w:highlight w:val="none"/>
        </w:rPr>
      </w:pPr>
      <w:r>
        <w:rPr>
          <w:rFonts w:hint="eastAsia" w:ascii="宋体" w:hAnsi="宋体" w:eastAsia="宋体" w:cs="宋体"/>
          <w:color w:val="auto"/>
          <w:spacing w:val="-2"/>
          <w:sz w:val="24"/>
          <w:szCs w:val="24"/>
          <w:highlight w:val="none"/>
        </w:rPr>
        <w:t>企业名称（加盖CA电子公章）：</w:t>
      </w:r>
    </w:p>
    <w:p w14:paraId="41EF4810">
      <w:pPr>
        <w:pStyle w:val="19"/>
        <w:spacing w:before="35" w:line="440" w:lineRule="exact"/>
        <w:ind w:left="4060" w:right="2166" w:firstLine="358" w:firstLineChars="152"/>
        <w:rPr>
          <w:rFonts w:hint="eastAsia" w:ascii="宋体" w:hAnsi="宋体" w:eastAsia="宋体" w:cs="宋体"/>
          <w:color w:val="auto"/>
          <w:spacing w:val="-2"/>
          <w:sz w:val="24"/>
          <w:szCs w:val="24"/>
          <w:highlight w:val="none"/>
        </w:rPr>
      </w:pPr>
      <w:r>
        <w:rPr>
          <w:rFonts w:hint="eastAsia" w:ascii="宋体" w:hAnsi="宋体" w:eastAsia="宋体" w:cs="宋体"/>
          <w:color w:val="auto"/>
          <w:spacing w:val="-2"/>
          <w:sz w:val="24"/>
          <w:szCs w:val="24"/>
          <w:highlight w:val="none"/>
        </w:rPr>
        <w:t>日期：</w:t>
      </w:r>
    </w:p>
    <w:p w14:paraId="24C5C197">
      <w:pPr>
        <w:jc w:val="center"/>
        <w:rPr>
          <w:rFonts w:hint="eastAsia" w:ascii="宋体" w:hAnsi="宋体" w:eastAsia="宋体" w:cs="宋体"/>
          <w:color w:val="auto"/>
          <w:sz w:val="24"/>
          <w:szCs w:val="24"/>
          <w:highlight w:val="none"/>
        </w:rPr>
      </w:pPr>
    </w:p>
    <w:p w14:paraId="2F2FD223">
      <w:pPr>
        <w:jc w:val="center"/>
        <w:rPr>
          <w:rFonts w:hint="eastAsia" w:ascii="宋体" w:hAnsi="宋体" w:eastAsia="宋体" w:cs="宋体"/>
          <w:color w:val="auto"/>
          <w:sz w:val="24"/>
          <w:szCs w:val="24"/>
          <w:highlight w:val="none"/>
        </w:rPr>
      </w:pPr>
    </w:p>
    <w:p w14:paraId="6BA3AD3A">
      <w:pPr>
        <w:jc w:val="center"/>
        <w:rPr>
          <w:rFonts w:hint="eastAsia" w:ascii="宋体" w:hAnsi="宋体" w:eastAsia="宋体" w:cs="宋体"/>
          <w:color w:val="auto"/>
          <w:sz w:val="24"/>
          <w:szCs w:val="24"/>
          <w:highlight w:val="none"/>
        </w:rPr>
      </w:pPr>
    </w:p>
    <w:p w14:paraId="2205F3C3">
      <w:pPr>
        <w:spacing w:line="440" w:lineRule="exact"/>
        <w:jc w:val="left"/>
        <w:rPr>
          <w:rFonts w:hint="eastAsia" w:ascii="宋体" w:hAnsi="宋体" w:eastAsia="宋体" w:cs="宋体"/>
          <w:b/>
          <w:bCs/>
          <w:color w:val="auto"/>
          <w:sz w:val="24"/>
          <w:szCs w:val="32"/>
          <w:highlight w:val="none"/>
        </w:rPr>
      </w:pPr>
      <w:r>
        <w:rPr>
          <w:rFonts w:hint="eastAsia" w:ascii="宋体" w:hAnsi="宋体" w:eastAsia="宋体" w:cs="宋体"/>
          <w:b/>
          <w:color w:val="auto"/>
          <w:sz w:val="24"/>
          <w:szCs w:val="24"/>
          <w:highlight w:val="none"/>
        </w:rPr>
        <w:t>注：（1）从业人员、营业收入、资产总额填报上一年度数据，无上一年度数据的新成立企业</w:t>
      </w:r>
      <w:r>
        <w:rPr>
          <w:rFonts w:hint="eastAsia" w:ascii="宋体" w:hAnsi="宋体" w:eastAsia="宋体" w:cs="宋体"/>
          <w:b/>
          <w:bCs/>
          <w:color w:val="auto"/>
          <w:sz w:val="24"/>
          <w:szCs w:val="32"/>
          <w:highlight w:val="none"/>
        </w:rPr>
        <w:t>可不填报。</w:t>
      </w:r>
    </w:p>
    <w:p w14:paraId="06B6311B">
      <w:pPr>
        <w:spacing w:line="440" w:lineRule="exact"/>
        <w:ind w:firstLine="482" w:firstLineChars="200"/>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（2）本项目所属行业为：</w:t>
      </w:r>
      <w:r>
        <w:rPr>
          <w:rFonts w:hint="eastAsia" w:ascii="宋体" w:hAnsi="宋体" w:eastAsia="宋体" w:cs="宋体"/>
          <w:b/>
          <w:bCs/>
          <w:color w:val="auto"/>
          <w:sz w:val="24"/>
          <w:szCs w:val="24"/>
          <w:highlight w:val="none"/>
          <w:lang w:eastAsia="zh-CN"/>
        </w:rPr>
        <w:t>餐饮业</w:t>
      </w:r>
      <w:r>
        <w:rPr>
          <w:rFonts w:hint="eastAsia" w:ascii="宋体" w:hAnsi="宋体" w:eastAsia="宋体" w:cs="宋体"/>
          <w:b/>
          <w:bCs/>
          <w:color w:val="auto"/>
          <w:sz w:val="24"/>
          <w:szCs w:val="24"/>
          <w:highlight w:val="none"/>
        </w:rPr>
        <w:t>。</w:t>
      </w:r>
    </w:p>
    <w:p w14:paraId="1BDB7ABD">
      <w:pPr>
        <w:spacing w:line="480" w:lineRule="exact"/>
        <w:ind w:firstLine="482" w:firstLineChars="200"/>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（3）上述“中小企业声明函”格式原则上不得改动，因擅自改动引起的评审风险由投标人自行承担。</w:t>
      </w:r>
    </w:p>
    <w:p w14:paraId="4E3E09A1">
      <w:pPr>
        <w:spacing w:line="480" w:lineRule="exact"/>
        <w:ind w:firstLine="482" w:firstLineChars="200"/>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（4）如未对上述声明函内（中型企业、小型企业、微型企业）进行勾选或明确，引起的评审风险由投标人自行承担。</w:t>
      </w:r>
    </w:p>
    <w:p w14:paraId="239ABCB7">
      <w:pPr>
        <w:spacing w:line="440" w:lineRule="exact"/>
        <w:ind w:firstLine="562" w:firstLineChars="200"/>
        <w:rPr>
          <w:rFonts w:hint="eastAsia" w:ascii="宋体" w:hAnsi="宋体" w:eastAsia="宋体" w:cs="宋体"/>
          <w:b/>
          <w:bCs/>
          <w:color w:val="auto"/>
          <w:sz w:val="28"/>
          <w:szCs w:val="28"/>
          <w:highlight w:val="none"/>
        </w:rPr>
        <w:sectPr>
          <w:footerReference r:id="rId11" w:type="first"/>
          <w:footerReference r:id="rId10" w:type="default"/>
          <w:pgSz w:w="11907" w:h="16840"/>
          <w:pgMar w:top="1134" w:right="882" w:bottom="1134" w:left="1365" w:header="567" w:footer="794" w:gutter="0"/>
          <w:pgNumType w:fmt="decimal" w:start="1"/>
          <w:cols w:space="720" w:num="1"/>
          <w:titlePg/>
          <w:docGrid w:type="lines" w:linePitch="305" w:charSpace="0"/>
        </w:sectPr>
      </w:pPr>
    </w:p>
    <w:p w14:paraId="5AC2884A">
      <w:pPr>
        <w:spacing w:line="440" w:lineRule="exact"/>
        <w:jc w:val="center"/>
        <w:outlineLvl w:val="1"/>
        <w:rPr>
          <w:rFonts w:hint="eastAsia" w:ascii="宋体" w:hAnsi="宋体" w:eastAsia="宋体" w:cs="宋体"/>
          <w:color w:val="auto"/>
          <w:highlight w:val="none"/>
        </w:rPr>
      </w:pPr>
      <w:bookmarkStart w:id="312" w:name="_Toc9286"/>
      <w:bookmarkStart w:id="313" w:name="_Toc1913"/>
      <w:bookmarkStart w:id="314" w:name="_Toc28185"/>
      <w:r>
        <w:rPr>
          <w:rFonts w:hint="eastAsia" w:ascii="宋体" w:hAnsi="宋体" w:eastAsia="宋体" w:cs="宋体"/>
          <w:b/>
          <w:bCs/>
          <w:color w:val="auto"/>
          <w:sz w:val="28"/>
          <w:szCs w:val="28"/>
          <w:highlight w:val="none"/>
        </w:rPr>
        <w:t>附件</w:t>
      </w:r>
      <w:bookmarkEnd w:id="312"/>
      <w:r>
        <w:rPr>
          <w:rFonts w:hint="eastAsia" w:ascii="宋体" w:hAnsi="宋体" w:eastAsia="宋体" w:cs="宋体"/>
          <w:b/>
          <w:bCs/>
          <w:color w:val="auto"/>
          <w:sz w:val="28"/>
          <w:szCs w:val="28"/>
          <w:highlight w:val="none"/>
          <w:lang w:val="en-US" w:eastAsia="zh-CN"/>
        </w:rPr>
        <w:t>7</w:t>
      </w:r>
      <w:r>
        <w:rPr>
          <w:rFonts w:hint="eastAsia" w:ascii="宋体" w:hAnsi="宋体" w:eastAsia="宋体" w:cs="宋体"/>
          <w:b/>
          <w:bCs/>
          <w:color w:val="auto"/>
          <w:sz w:val="28"/>
          <w:szCs w:val="28"/>
          <w:highlight w:val="none"/>
        </w:rPr>
        <w:t xml:space="preserve"> 残疾人福利性单位声明函</w:t>
      </w:r>
      <w:bookmarkEnd w:id="313"/>
      <w:bookmarkEnd w:id="314"/>
    </w:p>
    <w:p w14:paraId="79FEBF35">
      <w:pPr>
        <w:adjustRightInd w:val="0"/>
        <w:snapToGrid w:val="0"/>
        <w:spacing w:line="580" w:lineRule="exact"/>
        <w:ind w:firstLine="480" w:firstLineChars="200"/>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14:paraId="07EBFEAD">
      <w:pPr>
        <w:adjustRightInd w:val="0"/>
        <w:snapToGrid w:val="0"/>
        <w:spacing w:line="580" w:lineRule="exact"/>
        <w:ind w:firstLine="480" w:firstLineChars="200"/>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本单位对上述声明的真实性负责。如有虚假，将依法承担相应责任。</w:t>
      </w:r>
    </w:p>
    <w:p w14:paraId="4DD1E2D6">
      <w:pPr>
        <w:adjustRightInd w:val="0"/>
        <w:snapToGrid w:val="0"/>
        <w:spacing w:line="580" w:lineRule="exact"/>
        <w:jc w:val="left"/>
        <w:rPr>
          <w:rFonts w:hint="eastAsia" w:ascii="宋体" w:hAnsi="宋体" w:eastAsia="宋体" w:cs="宋体"/>
          <w:color w:val="auto"/>
          <w:sz w:val="24"/>
          <w:szCs w:val="24"/>
          <w:highlight w:val="none"/>
          <w:lang w:val="zh-CN"/>
        </w:rPr>
      </w:pPr>
    </w:p>
    <w:p w14:paraId="52F22EB8">
      <w:pPr>
        <w:adjustRightInd w:val="0"/>
        <w:snapToGrid w:val="0"/>
        <w:spacing w:line="580" w:lineRule="exact"/>
        <w:ind w:firstLine="4800" w:firstLineChars="2000"/>
        <w:jc w:val="left"/>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单位名称：</w:t>
      </w:r>
    </w:p>
    <w:p w14:paraId="23F29FD3">
      <w:pPr>
        <w:adjustRightInd w:val="0"/>
        <w:snapToGrid w:val="0"/>
        <w:spacing w:line="580" w:lineRule="exact"/>
        <w:ind w:firstLine="4800" w:firstLineChars="2000"/>
        <w:jc w:val="left"/>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日   期：</w:t>
      </w:r>
    </w:p>
    <w:p w14:paraId="0BB5EBB7">
      <w:pPr>
        <w:adjustRightInd w:val="0"/>
        <w:snapToGrid w:val="0"/>
        <w:spacing w:line="580" w:lineRule="exact"/>
        <w:jc w:val="left"/>
        <w:rPr>
          <w:rFonts w:hint="eastAsia" w:ascii="宋体" w:hAnsi="宋体" w:eastAsia="宋体" w:cs="宋体"/>
          <w:color w:val="auto"/>
          <w:sz w:val="24"/>
          <w:szCs w:val="24"/>
          <w:highlight w:val="none"/>
          <w:lang w:val="zh-CN"/>
        </w:rPr>
      </w:pPr>
    </w:p>
    <w:p w14:paraId="32461CA8">
      <w:pPr>
        <w:spacing w:line="440" w:lineRule="exact"/>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请投标人认真阅读如下内容：</w:t>
      </w:r>
    </w:p>
    <w:p w14:paraId="5367E003">
      <w:pPr>
        <w:spacing w:line="440" w:lineRule="exact"/>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注：根据《财政部、民政部、中国残疾人联合会关于促进残疾人就业政府采购政策的通知》（财库〔2017〕141号）的规定的划分标准，享受政府采购支持政策的残疾人福利性单位应当同时满足以下条件：</w:t>
      </w:r>
    </w:p>
    <w:p w14:paraId="60FFC955">
      <w:pPr>
        <w:spacing w:line="440" w:lineRule="exact"/>
        <w:ind w:firstLine="480" w:firstLineChars="200"/>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1）安置的残疾人占本单位在职职工人数的比例不低于25%（含25%），并且安置的残疾人人数不少于10人（含10人）；</w:t>
      </w:r>
    </w:p>
    <w:p w14:paraId="2E97110B">
      <w:pPr>
        <w:spacing w:line="440" w:lineRule="exact"/>
        <w:ind w:firstLine="480" w:firstLineChars="200"/>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2）依法与安置的每位残疾人签订了一年以上（含一年）的劳动合同或服务协议；</w:t>
      </w:r>
    </w:p>
    <w:p w14:paraId="3E7CEE9E">
      <w:pPr>
        <w:spacing w:line="440" w:lineRule="exact"/>
        <w:ind w:firstLine="480" w:firstLineChars="200"/>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3）为安置的每位残疾人按月足额缴纳了基本养老保险、基本医疗保险、失业保险、工伤保险和生育保险等社会保险费；</w:t>
      </w:r>
    </w:p>
    <w:p w14:paraId="1820D747">
      <w:pPr>
        <w:spacing w:line="440" w:lineRule="exact"/>
        <w:ind w:firstLine="480" w:firstLineChars="200"/>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4）通过银行等金融机构向安置的每位残疾人，按月支付了不低于单位所在区县适用的经省级人民政府批准的月最低工资标准的工资；</w:t>
      </w:r>
    </w:p>
    <w:p w14:paraId="024322D9">
      <w:pPr>
        <w:spacing w:line="440" w:lineRule="exact"/>
        <w:ind w:firstLine="480" w:firstLineChars="200"/>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5）提供本单位制造的货物、承担的工程或者服务（以下简称产品），或者提供其他残疾人福利性单位制造的货物（不包括使用非残疾人福利性单位注册商标的货物）。</w:t>
      </w:r>
    </w:p>
    <w:p w14:paraId="5C439A48">
      <w:pPr>
        <w:spacing w:line="440" w:lineRule="exact"/>
        <w:ind w:firstLine="480" w:firstLineChars="200"/>
        <w:rPr>
          <w:rFonts w:hint="eastAsia" w:ascii="宋体" w:hAnsi="宋体" w:eastAsia="宋体" w:cs="宋体"/>
          <w:color w:val="auto"/>
          <w:highlight w:val="none"/>
        </w:rPr>
      </w:pPr>
      <w:r>
        <w:rPr>
          <w:rFonts w:hint="eastAsia" w:ascii="宋体" w:hAnsi="宋体" w:eastAsia="宋体" w:cs="宋体"/>
          <w:color w:val="auto"/>
          <w:sz w:val="24"/>
          <w:szCs w:val="22"/>
          <w:highlight w:val="none"/>
        </w:rPr>
        <w:t>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p>
    <w:p w14:paraId="7A871C74">
      <w:pPr>
        <w:pStyle w:val="3"/>
        <w:keepNext w:val="0"/>
        <w:pageBreakBefore/>
        <w:rPr>
          <w:rFonts w:hint="eastAsia" w:ascii="宋体" w:hAnsi="宋体" w:eastAsia="宋体" w:cs="宋体"/>
          <w:color w:val="auto"/>
          <w:highlight w:val="none"/>
        </w:rPr>
      </w:pPr>
      <w:bookmarkStart w:id="315" w:name="_Toc14275"/>
      <w:r>
        <w:rPr>
          <w:rFonts w:hint="eastAsia" w:ascii="宋体" w:hAnsi="宋体" w:eastAsia="宋体" w:cs="宋体"/>
          <w:color w:val="auto"/>
          <w:highlight w:val="none"/>
        </w:rPr>
        <w:t>附件</w:t>
      </w:r>
      <w:r>
        <w:rPr>
          <w:rFonts w:hint="eastAsia" w:ascii="宋体" w:hAnsi="宋体" w:eastAsia="宋体" w:cs="宋体"/>
          <w:color w:val="auto"/>
          <w:highlight w:val="none"/>
          <w:lang w:val="en-US" w:eastAsia="zh-CN"/>
        </w:rPr>
        <w:t>8</w:t>
      </w:r>
      <w:r>
        <w:rPr>
          <w:rFonts w:hint="eastAsia" w:ascii="宋体" w:hAnsi="宋体" w:eastAsia="宋体" w:cs="宋体"/>
          <w:color w:val="auto"/>
          <w:highlight w:val="none"/>
        </w:rPr>
        <w:t xml:space="preserve"> 实质性要求响应及偏离表</w:t>
      </w:r>
      <w:bookmarkEnd w:id="315"/>
    </w:p>
    <w:tbl>
      <w:tblPr>
        <w:tblStyle w:val="55"/>
        <w:tblW w:w="0" w:type="auto"/>
        <w:tblInd w:w="305"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top w:w="0" w:type="dxa"/>
          <w:left w:w="108" w:type="dxa"/>
          <w:bottom w:w="0" w:type="dxa"/>
          <w:right w:w="108" w:type="dxa"/>
        </w:tblCellMar>
      </w:tblPr>
      <w:tblGrid>
        <w:gridCol w:w="834"/>
        <w:gridCol w:w="4666"/>
        <w:gridCol w:w="2260"/>
        <w:gridCol w:w="1526"/>
      </w:tblGrid>
      <w:tr w14:paraId="7E198A1C">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PrEx>
        <w:tc>
          <w:tcPr>
            <w:tcW w:w="834" w:type="dxa"/>
            <w:tcBorders>
              <w:top w:val="single" w:color="000000" w:sz="8" w:space="0"/>
              <w:left w:val="single" w:color="000000" w:sz="8" w:space="0"/>
              <w:bottom w:val="single" w:color="000000" w:sz="8" w:space="0"/>
              <w:right w:val="single" w:color="000000" w:sz="8" w:space="0"/>
            </w:tcBorders>
            <w:tcMar>
              <w:top w:w="0" w:type="dxa"/>
              <w:left w:w="108" w:type="dxa"/>
              <w:bottom w:w="0" w:type="dxa"/>
              <w:right w:w="108" w:type="dxa"/>
            </w:tcMar>
            <w:vAlign w:val="center"/>
          </w:tcPr>
          <w:p w14:paraId="1AA3DC41">
            <w:pPr>
              <w:pBdr>
                <w:top w:val="none" w:color="000000" w:sz="0" w:space="0"/>
                <w:left w:val="none" w:color="000000" w:sz="0" w:space="0"/>
                <w:bottom w:val="none" w:color="000000" w:sz="0" w:space="0"/>
                <w:right w:val="none" w:color="000000" w:sz="0" w:space="0"/>
              </w:pBdr>
              <w:spacing w:line="400" w:lineRule="atLeast"/>
              <w:jc w:val="center"/>
              <w:rPr>
                <w:rFonts w:hint="eastAsia" w:ascii="宋体" w:hAnsi="宋体" w:eastAsia="宋体" w:cs="宋体"/>
                <w:color w:val="auto"/>
                <w:highlight w:val="none"/>
              </w:rPr>
            </w:pPr>
            <w:r>
              <w:rPr>
                <w:rFonts w:hint="eastAsia" w:ascii="宋体" w:hAnsi="宋体" w:eastAsia="宋体" w:cs="宋体"/>
                <w:color w:val="auto"/>
                <w:sz w:val="24"/>
                <w:highlight w:val="none"/>
              </w:rPr>
              <w:t>序号</w:t>
            </w:r>
          </w:p>
        </w:tc>
        <w:tc>
          <w:tcPr>
            <w:tcW w:w="4666" w:type="dxa"/>
            <w:tcBorders>
              <w:top w:val="single" w:color="000000" w:sz="8" w:space="0"/>
              <w:left w:val="nil"/>
              <w:bottom w:val="single" w:color="000000" w:sz="8" w:space="0"/>
              <w:right w:val="single" w:color="000000" w:sz="8" w:space="0"/>
            </w:tcBorders>
            <w:tcMar>
              <w:top w:w="0" w:type="dxa"/>
              <w:left w:w="108" w:type="dxa"/>
              <w:bottom w:w="0" w:type="dxa"/>
              <w:right w:w="108" w:type="dxa"/>
            </w:tcMar>
            <w:vAlign w:val="center"/>
          </w:tcPr>
          <w:p w14:paraId="1C17406E">
            <w:pPr>
              <w:pBdr>
                <w:top w:val="none" w:color="000000" w:sz="0" w:space="0"/>
                <w:left w:val="none" w:color="000000" w:sz="0" w:space="0"/>
                <w:bottom w:val="none" w:color="000000" w:sz="0" w:space="0"/>
                <w:right w:val="none" w:color="000000" w:sz="0" w:space="0"/>
              </w:pBdr>
              <w:spacing w:line="400" w:lineRule="atLeast"/>
              <w:jc w:val="center"/>
              <w:rPr>
                <w:rFonts w:hint="eastAsia" w:ascii="宋体" w:hAnsi="宋体" w:eastAsia="宋体" w:cs="宋体"/>
                <w:color w:val="auto"/>
                <w:highlight w:val="none"/>
              </w:rPr>
            </w:pPr>
            <w:r>
              <w:rPr>
                <w:rFonts w:hint="eastAsia" w:ascii="宋体" w:hAnsi="宋体" w:eastAsia="宋体" w:cs="宋体"/>
                <w:color w:val="auto"/>
                <w:sz w:val="24"/>
                <w:highlight w:val="none"/>
              </w:rPr>
              <w:t>技术要求和商务要求中的</w:t>
            </w:r>
            <w:r>
              <w:rPr>
                <w:rFonts w:hint="eastAsia" w:ascii="宋体" w:hAnsi="宋体" w:eastAsia="宋体" w:cs="宋体"/>
                <w:b/>
                <w:color w:val="auto"/>
                <w:sz w:val="24"/>
                <w:highlight w:val="none"/>
              </w:rPr>
              <w:t>实质性要求</w:t>
            </w:r>
          </w:p>
        </w:tc>
        <w:tc>
          <w:tcPr>
            <w:tcW w:w="2260" w:type="dxa"/>
            <w:tcBorders>
              <w:top w:val="single" w:color="000000" w:sz="8" w:space="0"/>
              <w:left w:val="nil"/>
              <w:bottom w:val="single" w:color="000000" w:sz="8" w:space="0"/>
              <w:right w:val="single" w:color="000000" w:sz="8" w:space="0"/>
            </w:tcBorders>
            <w:tcMar>
              <w:top w:w="0" w:type="dxa"/>
              <w:left w:w="108" w:type="dxa"/>
              <w:bottom w:w="0" w:type="dxa"/>
              <w:right w:w="108" w:type="dxa"/>
            </w:tcMar>
            <w:vAlign w:val="center"/>
          </w:tcPr>
          <w:p w14:paraId="292EA0EC">
            <w:pPr>
              <w:pBdr>
                <w:top w:val="none" w:color="000000" w:sz="0" w:space="0"/>
                <w:left w:val="none" w:color="000000" w:sz="0" w:space="0"/>
                <w:bottom w:val="none" w:color="000000" w:sz="0" w:space="0"/>
                <w:right w:val="none" w:color="000000" w:sz="0" w:space="0"/>
              </w:pBdr>
              <w:spacing w:line="400" w:lineRule="atLeast"/>
              <w:jc w:val="center"/>
              <w:rPr>
                <w:rFonts w:hint="eastAsia" w:ascii="宋体" w:hAnsi="宋体" w:eastAsia="宋体" w:cs="宋体"/>
                <w:color w:val="auto"/>
                <w:highlight w:val="none"/>
              </w:rPr>
            </w:pPr>
            <w:r>
              <w:rPr>
                <w:rFonts w:hint="eastAsia" w:ascii="宋体" w:hAnsi="宋体" w:eastAsia="宋体" w:cs="宋体"/>
                <w:color w:val="auto"/>
                <w:sz w:val="24"/>
                <w:highlight w:val="none"/>
              </w:rPr>
              <w:t>响应情况</w:t>
            </w:r>
          </w:p>
        </w:tc>
        <w:tc>
          <w:tcPr>
            <w:tcW w:w="1526" w:type="dxa"/>
            <w:tcBorders>
              <w:top w:val="single" w:color="000000" w:sz="8" w:space="0"/>
              <w:left w:val="nil"/>
              <w:bottom w:val="single" w:color="000000" w:sz="8" w:space="0"/>
              <w:right w:val="single" w:color="000000" w:sz="8" w:space="0"/>
            </w:tcBorders>
            <w:tcMar>
              <w:top w:w="0" w:type="dxa"/>
              <w:left w:w="108" w:type="dxa"/>
              <w:bottom w:w="0" w:type="dxa"/>
              <w:right w:w="108" w:type="dxa"/>
            </w:tcMar>
            <w:vAlign w:val="center"/>
          </w:tcPr>
          <w:p w14:paraId="13973837">
            <w:pPr>
              <w:pBdr>
                <w:top w:val="none" w:color="000000" w:sz="0" w:space="0"/>
                <w:left w:val="none" w:color="000000" w:sz="0" w:space="0"/>
                <w:bottom w:val="none" w:color="000000" w:sz="0" w:space="0"/>
                <w:right w:val="none" w:color="000000" w:sz="0" w:space="0"/>
              </w:pBdr>
              <w:spacing w:line="400" w:lineRule="atLeast"/>
              <w:jc w:val="center"/>
              <w:rPr>
                <w:rFonts w:hint="eastAsia" w:ascii="宋体" w:hAnsi="宋体" w:eastAsia="宋体" w:cs="宋体"/>
                <w:color w:val="auto"/>
                <w:highlight w:val="none"/>
              </w:rPr>
            </w:pPr>
            <w:r>
              <w:rPr>
                <w:rFonts w:hint="eastAsia" w:ascii="宋体" w:hAnsi="宋体" w:eastAsia="宋体" w:cs="宋体"/>
                <w:color w:val="auto"/>
                <w:sz w:val="24"/>
                <w:highlight w:val="none"/>
              </w:rPr>
              <w:t>超出、符合或偏离</w:t>
            </w:r>
          </w:p>
        </w:tc>
      </w:tr>
      <w:tr w14:paraId="5CB90856">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640" w:hRule="atLeast"/>
        </w:trPr>
        <w:tc>
          <w:tcPr>
            <w:tcW w:w="834" w:type="dxa"/>
            <w:tcBorders>
              <w:top w:val="nil"/>
              <w:left w:val="single" w:color="000000" w:sz="8" w:space="0"/>
              <w:bottom w:val="single" w:color="000000" w:sz="8" w:space="0"/>
              <w:right w:val="single" w:color="000000" w:sz="8" w:space="0"/>
            </w:tcBorders>
            <w:tcMar>
              <w:top w:w="0" w:type="dxa"/>
              <w:left w:w="108" w:type="dxa"/>
              <w:bottom w:w="0" w:type="dxa"/>
              <w:right w:w="108" w:type="dxa"/>
            </w:tcMar>
          </w:tcPr>
          <w:p w14:paraId="43099788">
            <w:pPr>
              <w:pBdr>
                <w:top w:val="none" w:color="000000" w:sz="0" w:space="0"/>
                <w:left w:val="none" w:color="000000" w:sz="0" w:space="0"/>
                <w:bottom w:val="none" w:color="000000" w:sz="0" w:space="0"/>
                <w:right w:val="none" w:color="000000" w:sz="0" w:space="0"/>
              </w:pBdr>
              <w:spacing w:line="400" w:lineRule="atLeast"/>
              <w:jc w:val="center"/>
              <w:rPr>
                <w:rFonts w:hint="eastAsia" w:ascii="宋体" w:hAnsi="宋体" w:eastAsia="宋体" w:cs="宋体"/>
                <w:color w:val="auto"/>
                <w:highlight w:val="none"/>
              </w:rPr>
            </w:pPr>
            <w:r>
              <w:rPr>
                <w:rFonts w:hint="eastAsia" w:ascii="宋体" w:hAnsi="宋体" w:eastAsia="宋体" w:cs="宋体"/>
                <w:color w:val="auto"/>
                <w:sz w:val="24"/>
                <w:highlight w:val="none"/>
              </w:rPr>
              <w:t>1</w:t>
            </w:r>
          </w:p>
        </w:tc>
        <w:tc>
          <w:tcPr>
            <w:tcW w:w="4666" w:type="dxa"/>
            <w:tcBorders>
              <w:top w:val="nil"/>
              <w:left w:val="nil"/>
              <w:bottom w:val="single" w:color="000000" w:sz="8" w:space="0"/>
              <w:right w:val="single" w:color="000000" w:sz="8" w:space="0"/>
            </w:tcBorders>
            <w:tcMar>
              <w:top w:w="0" w:type="dxa"/>
              <w:left w:w="108" w:type="dxa"/>
              <w:bottom w:w="0" w:type="dxa"/>
              <w:right w:w="108" w:type="dxa"/>
            </w:tcMar>
          </w:tcPr>
          <w:p w14:paraId="7817789F">
            <w:pPr>
              <w:pBdr>
                <w:top w:val="none" w:color="000000" w:sz="0" w:space="0"/>
                <w:left w:val="none" w:color="000000" w:sz="0" w:space="0"/>
                <w:bottom w:val="none" w:color="000000" w:sz="0" w:space="0"/>
                <w:right w:val="none" w:color="000000" w:sz="0" w:space="0"/>
              </w:pBdr>
              <w:spacing w:line="439" w:lineRule="atLeast"/>
              <w:rPr>
                <w:rFonts w:hint="eastAsia" w:ascii="宋体" w:hAnsi="宋体" w:eastAsia="宋体" w:cs="宋体"/>
                <w:color w:val="auto"/>
                <w:highlight w:val="none"/>
              </w:rPr>
            </w:pPr>
            <w:r>
              <w:rPr>
                <w:rFonts w:hint="eastAsia" w:ascii="宋体" w:hAnsi="宋体" w:eastAsia="宋体" w:cs="宋体"/>
                <w:color w:val="auto"/>
                <w:sz w:val="24"/>
                <w:highlight w:val="none"/>
              </w:rPr>
              <w:t> </w:t>
            </w:r>
          </w:p>
        </w:tc>
        <w:tc>
          <w:tcPr>
            <w:tcW w:w="2260" w:type="dxa"/>
            <w:tcBorders>
              <w:top w:val="nil"/>
              <w:left w:val="nil"/>
              <w:bottom w:val="single" w:color="000000" w:sz="8" w:space="0"/>
              <w:right w:val="single" w:color="000000" w:sz="8" w:space="0"/>
            </w:tcBorders>
            <w:tcMar>
              <w:top w:w="0" w:type="dxa"/>
              <w:left w:w="108" w:type="dxa"/>
              <w:bottom w:w="0" w:type="dxa"/>
              <w:right w:w="108" w:type="dxa"/>
            </w:tcMar>
          </w:tcPr>
          <w:p w14:paraId="1092F1BC">
            <w:pPr>
              <w:pBdr>
                <w:top w:val="none" w:color="000000" w:sz="0" w:space="0"/>
                <w:left w:val="none" w:color="000000" w:sz="0" w:space="0"/>
                <w:bottom w:val="none" w:color="000000" w:sz="0" w:space="0"/>
                <w:right w:val="none" w:color="000000" w:sz="0" w:space="0"/>
              </w:pBdr>
              <w:spacing w:line="400" w:lineRule="atLeast"/>
              <w:jc w:val="center"/>
              <w:rPr>
                <w:rFonts w:hint="eastAsia" w:ascii="宋体" w:hAnsi="宋体" w:eastAsia="宋体" w:cs="宋体"/>
                <w:color w:val="auto"/>
                <w:highlight w:val="none"/>
              </w:rPr>
            </w:pPr>
            <w:r>
              <w:rPr>
                <w:rFonts w:hint="eastAsia" w:ascii="宋体" w:hAnsi="宋体" w:eastAsia="宋体" w:cs="宋体"/>
                <w:color w:val="auto"/>
                <w:sz w:val="24"/>
                <w:highlight w:val="none"/>
              </w:rPr>
              <w:t> </w:t>
            </w:r>
          </w:p>
        </w:tc>
        <w:tc>
          <w:tcPr>
            <w:tcW w:w="1526" w:type="dxa"/>
            <w:tcBorders>
              <w:top w:val="nil"/>
              <w:left w:val="nil"/>
              <w:bottom w:val="single" w:color="000000" w:sz="8" w:space="0"/>
              <w:right w:val="single" w:color="000000" w:sz="8" w:space="0"/>
            </w:tcBorders>
            <w:tcMar>
              <w:top w:w="0" w:type="dxa"/>
              <w:left w:w="108" w:type="dxa"/>
              <w:bottom w:w="0" w:type="dxa"/>
              <w:right w:w="108" w:type="dxa"/>
            </w:tcMar>
          </w:tcPr>
          <w:p w14:paraId="19D4B476">
            <w:pPr>
              <w:pBdr>
                <w:top w:val="none" w:color="000000" w:sz="0" w:space="0"/>
                <w:left w:val="none" w:color="000000" w:sz="0" w:space="0"/>
                <w:bottom w:val="none" w:color="000000" w:sz="0" w:space="0"/>
                <w:right w:val="none" w:color="000000" w:sz="0" w:space="0"/>
              </w:pBdr>
              <w:spacing w:line="400" w:lineRule="atLeast"/>
              <w:jc w:val="center"/>
              <w:rPr>
                <w:rFonts w:hint="eastAsia" w:ascii="宋体" w:hAnsi="宋体" w:eastAsia="宋体" w:cs="宋体"/>
                <w:color w:val="auto"/>
                <w:highlight w:val="none"/>
              </w:rPr>
            </w:pPr>
            <w:r>
              <w:rPr>
                <w:rFonts w:hint="eastAsia" w:ascii="宋体" w:hAnsi="宋体" w:eastAsia="宋体" w:cs="宋体"/>
                <w:color w:val="auto"/>
                <w:sz w:val="24"/>
                <w:highlight w:val="none"/>
              </w:rPr>
              <w:t> </w:t>
            </w:r>
          </w:p>
        </w:tc>
      </w:tr>
    </w:tbl>
    <w:p w14:paraId="799A0429">
      <w:pPr>
        <w:pBdr>
          <w:top w:val="none" w:color="000000" w:sz="0" w:space="0"/>
          <w:left w:val="none" w:color="000000" w:sz="0" w:space="0"/>
          <w:bottom w:val="none" w:color="000000" w:sz="0" w:space="0"/>
          <w:right w:val="none" w:color="000000" w:sz="0" w:space="0"/>
        </w:pBdr>
        <w:spacing w:line="400" w:lineRule="atLeast"/>
        <w:rPr>
          <w:rFonts w:hint="eastAsia" w:ascii="宋体" w:hAnsi="宋体" w:eastAsia="宋体" w:cs="宋体"/>
          <w:color w:val="auto"/>
          <w:highlight w:val="none"/>
        </w:rPr>
      </w:pPr>
      <w:r>
        <w:rPr>
          <w:rFonts w:hint="eastAsia" w:ascii="宋体" w:hAnsi="宋体" w:eastAsia="宋体" w:cs="宋体"/>
          <w:color w:val="auto"/>
          <w:sz w:val="24"/>
          <w:highlight w:val="none"/>
        </w:rPr>
        <w:t>备注：投标人必须对技术要求和商务要求中的不可实质性变动要求逐条做出明确响应，否则作无效投标处理。</w:t>
      </w:r>
    </w:p>
    <w:p w14:paraId="4EAC7899">
      <w:pPr>
        <w:rPr>
          <w:rFonts w:hint="eastAsia" w:ascii="宋体" w:hAnsi="宋体" w:eastAsia="宋体" w:cs="宋体"/>
          <w:color w:val="auto"/>
          <w:highlight w:val="none"/>
        </w:rPr>
      </w:pPr>
      <w:r>
        <w:rPr>
          <w:rFonts w:hint="eastAsia" w:ascii="宋体" w:hAnsi="宋体" w:eastAsia="宋体" w:cs="宋体"/>
          <w:color w:val="auto"/>
          <w:highlight w:val="none"/>
        </w:rPr>
        <w:br w:type="page"/>
      </w:r>
    </w:p>
    <w:p w14:paraId="413A96FD">
      <w:pPr>
        <w:pStyle w:val="3"/>
        <w:keepNext w:val="0"/>
        <w:pageBreakBefore/>
        <w:rPr>
          <w:rFonts w:hint="eastAsia" w:ascii="宋体" w:hAnsi="宋体" w:eastAsia="宋体" w:cs="宋体"/>
          <w:color w:val="auto"/>
          <w:highlight w:val="none"/>
        </w:rPr>
      </w:pPr>
      <w:bookmarkStart w:id="316" w:name="_Toc22595"/>
      <w:r>
        <w:rPr>
          <w:rFonts w:hint="eastAsia" w:ascii="宋体" w:hAnsi="宋体" w:eastAsia="宋体" w:cs="宋体"/>
          <w:color w:val="auto"/>
          <w:highlight w:val="none"/>
        </w:rPr>
        <w:t>附件</w:t>
      </w:r>
      <w:r>
        <w:rPr>
          <w:rFonts w:hint="eastAsia" w:ascii="宋体" w:hAnsi="宋体" w:eastAsia="宋体" w:cs="宋体"/>
          <w:color w:val="auto"/>
          <w:highlight w:val="none"/>
          <w:lang w:val="en-US" w:eastAsia="zh-CN"/>
        </w:rPr>
        <w:t>9</w:t>
      </w:r>
      <w:r>
        <w:rPr>
          <w:rFonts w:hint="eastAsia" w:ascii="宋体" w:hAnsi="宋体" w:eastAsia="宋体" w:cs="宋体"/>
          <w:color w:val="auto"/>
          <w:highlight w:val="none"/>
        </w:rPr>
        <w:t xml:space="preserve"> 服务要求响应及偏离表</w:t>
      </w:r>
      <w:bookmarkEnd w:id="316"/>
    </w:p>
    <w:tbl>
      <w:tblPr>
        <w:tblStyle w:val="54"/>
        <w:tblW w:w="9938"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66"/>
        <w:gridCol w:w="1606"/>
        <w:gridCol w:w="1623"/>
        <w:gridCol w:w="1923"/>
        <w:gridCol w:w="845"/>
        <w:gridCol w:w="805"/>
        <w:gridCol w:w="2670"/>
      </w:tblGrid>
      <w:tr w14:paraId="7179CD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6" w:hRule="atLeast"/>
        </w:trPr>
        <w:tc>
          <w:tcPr>
            <w:tcW w:w="466" w:type="dxa"/>
            <w:vMerge w:val="restart"/>
            <w:vAlign w:val="center"/>
          </w:tcPr>
          <w:p w14:paraId="7BF9F2F3">
            <w:pPr>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序号</w:t>
            </w:r>
          </w:p>
        </w:tc>
        <w:tc>
          <w:tcPr>
            <w:tcW w:w="1606" w:type="dxa"/>
            <w:vMerge w:val="restart"/>
            <w:vAlign w:val="center"/>
          </w:tcPr>
          <w:p w14:paraId="36B09C2F">
            <w:pPr>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招标文件服务要求</w:t>
            </w:r>
          </w:p>
        </w:tc>
        <w:tc>
          <w:tcPr>
            <w:tcW w:w="1623" w:type="dxa"/>
            <w:vMerge w:val="restart"/>
            <w:vAlign w:val="center"/>
          </w:tcPr>
          <w:p w14:paraId="2B90D057">
            <w:pPr>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招标文件提供服务承诺</w:t>
            </w:r>
          </w:p>
        </w:tc>
        <w:tc>
          <w:tcPr>
            <w:tcW w:w="1923" w:type="dxa"/>
            <w:vMerge w:val="restart"/>
            <w:vAlign w:val="center"/>
          </w:tcPr>
          <w:p w14:paraId="2640DEF9">
            <w:pPr>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有无偏离</w:t>
            </w:r>
          </w:p>
        </w:tc>
        <w:tc>
          <w:tcPr>
            <w:tcW w:w="1650" w:type="dxa"/>
            <w:gridSpan w:val="2"/>
            <w:vAlign w:val="center"/>
          </w:tcPr>
          <w:p w14:paraId="16E9D3F9">
            <w:pPr>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有偏离</w:t>
            </w:r>
          </w:p>
        </w:tc>
        <w:tc>
          <w:tcPr>
            <w:tcW w:w="2670" w:type="dxa"/>
            <w:vAlign w:val="center"/>
          </w:tcPr>
          <w:p w14:paraId="7399D74D">
            <w:pPr>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偏离内容</w:t>
            </w:r>
          </w:p>
        </w:tc>
      </w:tr>
      <w:tr w14:paraId="261ECE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6" w:hRule="atLeast"/>
        </w:trPr>
        <w:tc>
          <w:tcPr>
            <w:tcW w:w="466" w:type="dxa"/>
            <w:vMerge w:val="continue"/>
            <w:vAlign w:val="center"/>
          </w:tcPr>
          <w:p w14:paraId="4255B3B0">
            <w:pPr>
              <w:jc w:val="center"/>
              <w:rPr>
                <w:rFonts w:hint="eastAsia" w:ascii="宋体" w:hAnsi="宋体" w:eastAsia="宋体" w:cs="宋体"/>
                <w:b/>
                <w:color w:val="auto"/>
                <w:sz w:val="24"/>
                <w:szCs w:val="24"/>
                <w:highlight w:val="none"/>
              </w:rPr>
            </w:pPr>
          </w:p>
        </w:tc>
        <w:tc>
          <w:tcPr>
            <w:tcW w:w="1606" w:type="dxa"/>
            <w:vMerge w:val="continue"/>
            <w:vAlign w:val="center"/>
          </w:tcPr>
          <w:p w14:paraId="59C857E2">
            <w:pPr>
              <w:jc w:val="center"/>
              <w:rPr>
                <w:rFonts w:hint="eastAsia" w:ascii="宋体" w:hAnsi="宋体" w:eastAsia="宋体" w:cs="宋体"/>
                <w:b/>
                <w:color w:val="auto"/>
                <w:sz w:val="24"/>
                <w:szCs w:val="24"/>
                <w:highlight w:val="none"/>
              </w:rPr>
            </w:pPr>
          </w:p>
        </w:tc>
        <w:tc>
          <w:tcPr>
            <w:tcW w:w="1623" w:type="dxa"/>
            <w:vMerge w:val="continue"/>
            <w:vAlign w:val="center"/>
          </w:tcPr>
          <w:p w14:paraId="25376A69">
            <w:pPr>
              <w:jc w:val="center"/>
              <w:rPr>
                <w:rFonts w:hint="eastAsia" w:ascii="宋体" w:hAnsi="宋体" w:eastAsia="宋体" w:cs="宋体"/>
                <w:b/>
                <w:color w:val="auto"/>
                <w:sz w:val="24"/>
                <w:szCs w:val="24"/>
                <w:highlight w:val="none"/>
              </w:rPr>
            </w:pPr>
          </w:p>
        </w:tc>
        <w:tc>
          <w:tcPr>
            <w:tcW w:w="1923" w:type="dxa"/>
            <w:vMerge w:val="continue"/>
            <w:vAlign w:val="center"/>
          </w:tcPr>
          <w:p w14:paraId="42DD1E33">
            <w:pPr>
              <w:jc w:val="center"/>
              <w:rPr>
                <w:rFonts w:hint="eastAsia" w:ascii="宋体" w:hAnsi="宋体" w:eastAsia="宋体" w:cs="宋体"/>
                <w:b/>
                <w:color w:val="auto"/>
                <w:sz w:val="24"/>
                <w:szCs w:val="24"/>
                <w:highlight w:val="none"/>
              </w:rPr>
            </w:pPr>
          </w:p>
        </w:tc>
        <w:tc>
          <w:tcPr>
            <w:tcW w:w="845" w:type="dxa"/>
            <w:vAlign w:val="center"/>
          </w:tcPr>
          <w:p w14:paraId="36A3B2A6">
            <w:pPr>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正</w:t>
            </w:r>
          </w:p>
        </w:tc>
        <w:tc>
          <w:tcPr>
            <w:tcW w:w="805" w:type="dxa"/>
            <w:vAlign w:val="center"/>
          </w:tcPr>
          <w:p w14:paraId="6669F44F">
            <w:pPr>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负</w:t>
            </w:r>
          </w:p>
        </w:tc>
        <w:tc>
          <w:tcPr>
            <w:tcW w:w="2670" w:type="dxa"/>
            <w:vAlign w:val="center"/>
          </w:tcPr>
          <w:p w14:paraId="3A969B34">
            <w:pPr>
              <w:jc w:val="center"/>
              <w:rPr>
                <w:rFonts w:hint="eastAsia" w:ascii="宋体" w:hAnsi="宋体" w:eastAsia="宋体" w:cs="宋体"/>
                <w:b/>
                <w:color w:val="auto"/>
                <w:sz w:val="24"/>
                <w:szCs w:val="24"/>
                <w:highlight w:val="none"/>
              </w:rPr>
            </w:pPr>
          </w:p>
        </w:tc>
      </w:tr>
      <w:tr w14:paraId="1178FE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9" w:hRule="atLeast"/>
        </w:trPr>
        <w:tc>
          <w:tcPr>
            <w:tcW w:w="466" w:type="dxa"/>
            <w:vAlign w:val="center"/>
          </w:tcPr>
          <w:p w14:paraId="32B40245">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p>
        </w:tc>
        <w:tc>
          <w:tcPr>
            <w:tcW w:w="1606" w:type="dxa"/>
            <w:vAlign w:val="center"/>
          </w:tcPr>
          <w:p w14:paraId="53D8A101">
            <w:pPr>
              <w:jc w:val="center"/>
              <w:rPr>
                <w:rFonts w:hint="eastAsia" w:ascii="宋体" w:hAnsi="宋体" w:eastAsia="宋体" w:cs="宋体"/>
                <w:color w:val="auto"/>
                <w:sz w:val="24"/>
                <w:szCs w:val="24"/>
                <w:highlight w:val="none"/>
              </w:rPr>
            </w:pPr>
          </w:p>
        </w:tc>
        <w:tc>
          <w:tcPr>
            <w:tcW w:w="1623" w:type="dxa"/>
            <w:vAlign w:val="center"/>
          </w:tcPr>
          <w:p w14:paraId="22A811FD">
            <w:pPr>
              <w:jc w:val="center"/>
              <w:rPr>
                <w:rFonts w:hint="eastAsia" w:ascii="宋体" w:hAnsi="宋体" w:eastAsia="宋体" w:cs="宋体"/>
                <w:color w:val="auto"/>
                <w:highlight w:val="none"/>
              </w:rPr>
            </w:pPr>
          </w:p>
        </w:tc>
        <w:tc>
          <w:tcPr>
            <w:tcW w:w="1923" w:type="dxa"/>
            <w:vAlign w:val="center"/>
          </w:tcPr>
          <w:p w14:paraId="2E48237B">
            <w:pPr>
              <w:jc w:val="center"/>
              <w:rPr>
                <w:rFonts w:hint="eastAsia" w:ascii="宋体" w:hAnsi="宋体" w:eastAsia="宋体" w:cs="宋体"/>
                <w:color w:val="auto"/>
                <w:highlight w:val="none"/>
              </w:rPr>
            </w:pPr>
          </w:p>
        </w:tc>
        <w:tc>
          <w:tcPr>
            <w:tcW w:w="845" w:type="dxa"/>
            <w:vAlign w:val="center"/>
          </w:tcPr>
          <w:p w14:paraId="378E4E59">
            <w:pPr>
              <w:jc w:val="center"/>
              <w:rPr>
                <w:rFonts w:hint="eastAsia" w:ascii="宋体" w:hAnsi="宋体" w:eastAsia="宋体" w:cs="宋体"/>
                <w:color w:val="auto"/>
                <w:highlight w:val="none"/>
              </w:rPr>
            </w:pPr>
          </w:p>
        </w:tc>
        <w:tc>
          <w:tcPr>
            <w:tcW w:w="805" w:type="dxa"/>
            <w:vAlign w:val="center"/>
          </w:tcPr>
          <w:p w14:paraId="774189B7">
            <w:pPr>
              <w:jc w:val="center"/>
              <w:rPr>
                <w:rFonts w:hint="eastAsia" w:ascii="宋体" w:hAnsi="宋体" w:eastAsia="宋体" w:cs="宋体"/>
                <w:color w:val="auto"/>
                <w:highlight w:val="none"/>
              </w:rPr>
            </w:pPr>
          </w:p>
        </w:tc>
        <w:tc>
          <w:tcPr>
            <w:tcW w:w="2670" w:type="dxa"/>
            <w:vAlign w:val="center"/>
          </w:tcPr>
          <w:p w14:paraId="20AE9292">
            <w:pPr>
              <w:jc w:val="center"/>
              <w:rPr>
                <w:rFonts w:hint="eastAsia" w:ascii="宋体" w:hAnsi="宋体" w:eastAsia="宋体" w:cs="宋体"/>
                <w:color w:val="auto"/>
                <w:highlight w:val="none"/>
              </w:rPr>
            </w:pPr>
          </w:p>
        </w:tc>
      </w:tr>
      <w:tr w14:paraId="06E052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9" w:hRule="atLeast"/>
        </w:trPr>
        <w:tc>
          <w:tcPr>
            <w:tcW w:w="466" w:type="dxa"/>
            <w:vAlign w:val="center"/>
          </w:tcPr>
          <w:p w14:paraId="0E7DCEF6">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p>
        </w:tc>
        <w:tc>
          <w:tcPr>
            <w:tcW w:w="1606" w:type="dxa"/>
            <w:vAlign w:val="center"/>
          </w:tcPr>
          <w:p w14:paraId="0EB8343F">
            <w:pPr>
              <w:jc w:val="center"/>
              <w:rPr>
                <w:rFonts w:hint="eastAsia" w:ascii="宋体" w:hAnsi="宋体" w:eastAsia="宋体" w:cs="宋体"/>
                <w:color w:val="auto"/>
                <w:highlight w:val="none"/>
              </w:rPr>
            </w:pPr>
          </w:p>
        </w:tc>
        <w:tc>
          <w:tcPr>
            <w:tcW w:w="1623" w:type="dxa"/>
            <w:vAlign w:val="center"/>
          </w:tcPr>
          <w:p w14:paraId="328EACA8">
            <w:pPr>
              <w:jc w:val="center"/>
              <w:rPr>
                <w:rFonts w:hint="eastAsia" w:ascii="宋体" w:hAnsi="宋体" w:eastAsia="宋体" w:cs="宋体"/>
                <w:color w:val="auto"/>
                <w:highlight w:val="none"/>
              </w:rPr>
            </w:pPr>
          </w:p>
        </w:tc>
        <w:tc>
          <w:tcPr>
            <w:tcW w:w="1923" w:type="dxa"/>
            <w:vAlign w:val="center"/>
          </w:tcPr>
          <w:p w14:paraId="6ACB39A6">
            <w:pPr>
              <w:jc w:val="center"/>
              <w:rPr>
                <w:rFonts w:hint="eastAsia" w:ascii="宋体" w:hAnsi="宋体" w:eastAsia="宋体" w:cs="宋体"/>
                <w:color w:val="auto"/>
                <w:highlight w:val="none"/>
              </w:rPr>
            </w:pPr>
          </w:p>
        </w:tc>
        <w:tc>
          <w:tcPr>
            <w:tcW w:w="845" w:type="dxa"/>
            <w:vAlign w:val="center"/>
          </w:tcPr>
          <w:p w14:paraId="25671FCE">
            <w:pPr>
              <w:jc w:val="center"/>
              <w:rPr>
                <w:rFonts w:hint="eastAsia" w:ascii="宋体" w:hAnsi="宋体" w:eastAsia="宋体" w:cs="宋体"/>
                <w:color w:val="auto"/>
                <w:highlight w:val="none"/>
              </w:rPr>
            </w:pPr>
          </w:p>
        </w:tc>
        <w:tc>
          <w:tcPr>
            <w:tcW w:w="805" w:type="dxa"/>
            <w:vAlign w:val="center"/>
          </w:tcPr>
          <w:p w14:paraId="3278D3CA">
            <w:pPr>
              <w:jc w:val="center"/>
              <w:rPr>
                <w:rFonts w:hint="eastAsia" w:ascii="宋体" w:hAnsi="宋体" w:eastAsia="宋体" w:cs="宋体"/>
                <w:color w:val="auto"/>
                <w:highlight w:val="none"/>
              </w:rPr>
            </w:pPr>
          </w:p>
        </w:tc>
        <w:tc>
          <w:tcPr>
            <w:tcW w:w="2670" w:type="dxa"/>
            <w:vAlign w:val="center"/>
          </w:tcPr>
          <w:p w14:paraId="48DDA9E0">
            <w:pPr>
              <w:jc w:val="center"/>
              <w:rPr>
                <w:rFonts w:hint="eastAsia" w:ascii="宋体" w:hAnsi="宋体" w:eastAsia="宋体" w:cs="宋体"/>
                <w:color w:val="auto"/>
                <w:highlight w:val="none"/>
              </w:rPr>
            </w:pPr>
          </w:p>
        </w:tc>
      </w:tr>
      <w:tr w14:paraId="235B6D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466" w:type="dxa"/>
            <w:vAlign w:val="center"/>
          </w:tcPr>
          <w:p w14:paraId="66476A07">
            <w:pPr>
              <w:jc w:val="center"/>
              <w:rPr>
                <w:rFonts w:hint="eastAsia" w:ascii="宋体" w:hAnsi="宋体" w:eastAsia="宋体" w:cs="宋体"/>
                <w:color w:val="auto"/>
                <w:sz w:val="24"/>
                <w:szCs w:val="24"/>
                <w:highlight w:val="none"/>
              </w:rPr>
            </w:pPr>
            <w:r>
              <w:rPr>
                <w:rFonts w:hint="eastAsia" w:ascii="宋体" w:hAnsi="宋体" w:eastAsia="宋体" w:cs="宋体"/>
                <w:color w:val="auto"/>
                <w:highlight w:val="none"/>
              </w:rPr>
              <w:t>……</w:t>
            </w:r>
          </w:p>
        </w:tc>
        <w:tc>
          <w:tcPr>
            <w:tcW w:w="1606" w:type="dxa"/>
            <w:vAlign w:val="center"/>
          </w:tcPr>
          <w:p w14:paraId="42D35E03">
            <w:pPr>
              <w:jc w:val="center"/>
              <w:rPr>
                <w:rFonts w:hint="eastAsia" w:ascii="宋体" w:hAnsi="宋体" w:eastAsia="宋体" w:cs="宋体"/>
                <w:color w:val="auto"/>
                <w:highlight w:val="none"/>
              </w:rPr>
            </w:pPr>
          </w:p>
        </w:tc>
        <w:tc>
          <w:tcPr>
            <w:tcW w:w="1623" w:type="dxa"/>
            <w:vAlign w:val="center"/>
          </w:tcPr>
          <w:p w14:paraId="3B916709">
            <w:pPr>
              <w:jc w:val="center"/>
              <w:rPr>
                <w:rFonts w:hint="eastAsia" w:ascii="宋体" w:hAnsi="宋体" w:eastAsia="宋体" w:cs="宋体"/>
                <w:color w:val="auto"/>
                <w:highlight w:val="none"/>
              </w:rPr>
            </w:pPr>
          </w:p>
        </w:tc>
        <w:tc>
          <w:tcPr>
            <w:tcW w:w="1923" w:type="dxa"/>
            <w:vAlign w:val="center"/>
          </w:tcPr>
          <w:p w14:paraId="7A5A8716">
            <w:pPr>
              <w:jc w:val="center"/>
              <w:rPr>
                <w:rFonts w:hint="eastAsia" w:ascii="宋体" w:hAnsi="宋体" w:eastAsia="宋体" w:cs="宋体"/>
                <w:color w:val="auto"/>
                <w:highlight w:val="none"/>
              </w:rPr>
            </w:pPr>
          </w:p>
        </w:tc>
        <w:tc>
          <w:tcPr>
            <w:tcW w:w="845" w:type="dxa"/>
            <w:vAlign w:val="center"/>
          </w:tcPr>
          <w:p w14:paraId="741BFC77">
            <w:pPr>
              <w:jc w:val="center"/>
              <w:rPr>
                <w:rFonts w:hint="eastAsia" w:ascii="宋体" w:hAnsi="宋体" w:eastAsia="宋体" w:cs="宋体"/>
                <w:color w:val="auto"/>
                <w:highlight w:val="none"/>
              </w:rPr>
            </w:pPr>
          </w:p>
        </w:tc>
        <w:tc>
          <w:tcPr>
            <w:tcW w:w="805" w:type="dxa"/>
            <w:vAlign w:val="center"/>
          </w:tcPr>
          <w:p w14:paraId="26FA628E">
            <w:pPr>
              <w:jc w:val="center"/>
              <w:rPr>
                <w:rFonts w:hint="eastAsia" w:ascii="宋体" w:hAnsi="宋体" w:eastAsia="宋体" w:cs="宋体"/>
                <w:color w:val="auto"/>
                <w:highlight w:val="none"/>
              </w:rPr>
            </w:pPr>
          </w:p>
        </w:tc>
        <w:tc>
          <w:tcPr>
            <w:tcW w:w="2670" w:type="dxa"/>
            <w:vAlign w:val="center"/>
          </w:tcPr>
          <w:p w14:paraId="76C84122">
            <w:pPr>
              <w:jc w:val="center"/>
              <w:rPr>
                <w:rFonts w:hint="eastAsia" w:ascii="宋体" w:hAnsi="宋体" w:eastAsia="宋体" w:cs="宋体"/>
                <w:color w:val="auto"/>
                <w:highlight w:val="none"/>
              </w:rPr>
            </w:pPr>
          </w:p>
        </w:tc>
      </w:tr>
      <w:tr w14:paraId="05CB51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9" w:hRule="atLeast"/>
        </w:trPr>
        <w:tc>
          <w:tcPr>
            <w:tcW w:w="466" w:type="dxa"/>
            <w:vAlign w:val="center"/>
          </w:tcPr>
          <w:p w14:paraId="28388559">
            <w:pPr>
              <w:jc w:val="center"/>
              <w:rPr>
                <w:rFonts w:hint="eastAsia" w:ascii="宋体" w:hAnsi="宋体" w:eastAsia="宋体" w:cs="宋体"/>
                <w:color w:val="auto"/>
                <w:sz w:val="24"/>
                <w:szCs w:val="24"/>
                <w:highlight w:val="none"/>
              </w:rPr>
            </w:pPr>
          </w:p>
        </w:tc>
        <w:tc>
          <w:tcPr>
            <w:tcW w:w="1606" w:type="dxa"/>
            <w:vAlign w:val="center"/>
          </w:tcPr>
          <w:p w14:paraId="06F02E13">
            <w:pPr>
              <w:jc w:val="center"/>
              <w:rPr>
                <w:rFonts w:hint="eastAsia" w:ascii="宋体" w:hAnsi="宋体" w:eastAsia="宋体" w:cs="宋体"/>
                <w:color w:val="auto"/>
                <w:highlight w:val="none"/>
              </w:rPr>
            </w:pPr>
          </w:p>
        </w:tc>
        <w:tc>
          <w:tcPr>
            <w:tcW w:w="1623" w:type="dxa"/>
            <w:vAlign w:val="center"/>
          </w:tcPr>
          <w:p w14:paraId="56288BEE">
            <w:pPr>
              <w:jc w:val="center"/>
              <w:rPr>
                <w:rFonts w:hint="eastAsia" w:ascii="宋体" w:hAnsi="宋体" w:eastAsia="宋体" w:cs="宋体"/>
                <w:color w:val="auto"/>
                <w:highlight w:val="none"/>
              </w:rPr>
            </w:pPr>
          </w:p>
        </w:tc>
        <w:tc>
          <w:tcPr>
            <w:tcW w:w="1923" w:type="dxa"/>
            <w:vAlign w:val="center"/>
          </w:tcPr>
          <w:p w14:paraId="7F131128">
            <w:pPr>
              <w:jc w:val="center"/>
              <w:rPr>
                <w:rFonts w:hint="eastAsia" w:ascii="宋体" w:hAnsi="宋体" w:eastAsia="宋体" w:cs="宋体"/>
                <w:color w:val="auto"/>
                <w:highlight w:val="none"/>
              </w:rPr>
            </w:pPr>
          </w:p>
        </w:tc>
        <w:tc>
          <w:tcPr>
            <w:tcW w:w="845" w:type="dxa"/>
            <w:vAlign w:val="center"/>
          </w:tcPr>
          <w:p w14:paraId="04A01CB9">
            <w:pPr>
              <w:jc w:val="center"/>
              <w:rPr>
                <w:rFonts w:hint="eastAsia" w:ascii="宋体" w:hAnsi="宋体" w:eastAsia="宋体" w:cs="宋体"/>
                <w:color w:val="auto"/>
                <w:highlight w:val="none"/>
              </w:rPr>
            </w:pPr>
          </w:p>
        </w:tc>
        <w:tc>
          <w:tcPr>
            <w:tcW w:w="805" w:type="dxa"/>
            <w:vAlign w:val="center"/>
          </w:tcPr>
          <w:p w14:paraId="539F7443">
            <w:pPr>
              <w:jc w:val="center"/>
              <w:rPr>
                <w:rFonts w:hint="eastAsia" w:ascii="宋体" w:hAnsi="宋体" w:eastAsia="宋体" w:cs="宋体"/>
                <w:color w:val="auto"/>
                <w:highlight w:val="none"/>
              </w:rPr>
            </w:pPr>
          </w:p>
        </w:tc>
        <w:tc>
          <w:tcPr>
            <w:tcW w:w="2670" w:type="dxa"/>
            <w:vAlign w:val="center"/>
          </w:tcPr>
          <w:p w14:paraId="35166B6C">
            <w:pPr>
              <w:jc w:val="center"/>
              <w:rPr>
                <w:rFonts w:hint="eastAsia" w:ascii="宋体" w:hAnsi="宋体" w:eastAsia="宋体" w:cs="宋体"/>
                <w:color w:val="auto"/>
                <w:highlight w:val="none"/>
              </w:rPr>
            </w:pPr>
          </w:p>
        </w:tc>
      </w:tr>
      <w:tr w14:paraId="19CDF4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9" w:hRule="atLeast"/>
        </w:trPr>
        <w:tc>
          <w:tcPr>
            <w:tcW w:w="466" w:type="dxa"/>
            <w:vAlign w:val="center"/>
          </w:tcPr>
          <w:p w14:paraId="6172DC85">
            <w:pPr>
              <w:jc w:val="center"/>
              <w:rPr>
                <w:rFonts w:hint="eastAsia" w:ascii="宋体" w:hAnsi="宋体" w:eastAsia="宋体" w:cs="宋体"/>
                <w:color w:val="auto"/>
                <w:sz w:val="24"/>
                <w:szCs w:val="24"/>
                <w:highlight w:val="none"/>
              </w:rPr>
            </w:pPr>
          </w:p>
        </w:tc>
        <w:tc>
          <w:tcPr>
            <w:tcW w:w="1606" w:type="dxa"/>
            <w:vAlign w:val="center"/>
          </w:tcPr>
          <w:p w14:paraId="4D1BE9A9">
            <w:pPr>
              <w:jc w:val="center"/>
              <w:rPr>
                <w:rFonts w:hint="eastAsia" w:ascii="宋体" w:hAnsi="宋体" w:eastAsia="宋体" w:cs="宋体"/>
                <w:color w:val="auto"/>
                <w:highlight w:val="none"/>
              </w:rPr>
            </w:pPr>
          </w:p>
        </w:tc>
        <w:tc>
          <w:tcPr>
            <w:tcW w:w="1623" w:type="dxa"/>
            <w:vAlign w:val="center"/>
          </w:tcPr>
          <w:p w14:paraId="580C6E02">
            <w:pPr>
              <w:jc w:val="center"/>
              <w:rPr>
                <w:rFonts w:hint="eastAsia" w:ascii="宋体" w:hAnsi="宋体" w:eastAsia="宋体" w:cs="宋体"/>
                <w:color w:val="auto"/>
                <w:highlight w:val="none"/>
              </w:rPr>
            </w:pPr>
          </w:p>
        </w:tc>
        <w:tc>
          <w:tcPr>
            <w:tcW w:w="1923" w:type="dxa"/>
            <w:vAlign w:val="center"/>
          </w:tcPr>
          <w:p w14:paraId="2356A69B">
            <w:pPr>
              <w:jc w:val="center"/>
              <w:rPr>
                <w:rFonts w:hint="eastAsia" w:ascii="宋体" w:hAnsi="宋体" w:eastAsia="宋体" w:cs="宋体"/>
                <w:color w:val="auto"/>
                <w:highlight w:val="none"/>
              </w:rPr>
            </w:pPr>
          </w:p>
        </w:tc>
        <w:tc>
          <w:tcPr>
            <w:tcW w:w="845" w:type="dxa"/>
            <w:vAlign w:val="center"/>
          </w:tcPr>
          <w:p w14:paraId="251CB68F">
            <w:pPr>
              <w:jc w:val="center"/>
              <w:rPr>
                <w:rFonts w:hint="eastAsia" w:ascii="宋体" w:hAnsi="宋体" w:eastAsia="宋体" w:cs="宋体"/>
                <w:color w:val="auto"/>
                <w:highlight w:val="none"/>
              </w:rPr>
            </w:pPr>
          </w:p>
        </w:tc>
        <w:tc>
          <w:tcPr>
            <w:tcW w:w="805" w:type="dxa"/>
            <w:vAlign w:val="center"/>
          </w:tcPr>
          <w:p w14:paraId="2372ACF6">
            <w:pPr>
              <w:jc w:val="center"/>
              <w:rPr>
                <w:rFonts w:hint="eastAsia" w:ascii="宋体" w:hAnsi="宋体" w:eastAsia="宋体" w:cs="宋体"/>
                <w:color w:val="auto"/>
                <w:highlight w:val="none"/>
              </w:rPr>
            </w:pPr>
          </w:p>
        </w:tc>
        <w:tc>
          <w:tcPr>
            <w:tcW w:w="2670" w:type="dxa"/>
            <w:vAlign w:val="center"/>
          </w:tcPr>
          <w:p w14:paraId="06FB0CF3">
            <w:pPr>
              <w:jc w:val="center"/>
              <w:rPr>
                <w:rFonts w:hint="eastAsia" w:ascii="宋体" w:hAnsi="宋体" w:eastAsia="宋体" w:cs="宋体"/>
                <w:color w:val="auto"/>
                <w:highlight w:val="none"/>
              </w:rPr>
            </w:pPr>
          </w:p>
        </w:tc>
      </w:tr>
      <w:tr w14:paraId="5F9029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9" w:hRule="atLeast"/>
        </w:trPr>
        <w:tc>
          <w:tcPr>
            <w:tcW w:w="466" w:type="dxa"/>
            <w:vAlign w:val="center"/>
          </w:tcPr>
          <w:p w14:paraId="796D9FA3">
            <w:pPr>
              <w:jc w:val="center"/>
              <w:rPr>
                <w:rFonts w:hint="eastAsia" w:ascii="宋体" w:hAnsi="宋体" w:eastAsia="宋体" w:cs="宋体"/>
                <w:color w:val="auto"/>
                <w:sz w:val="24"/>
                <w:szCs w:val="24"/>
                <w:highlight w:val="none"/>
              </w:rPr>
            </w:pPr>
          </w:p>
        </w:tc>
        <w:tc>
          <w:tcPr>
            <w:tcW w:w="1606" w:type="dxa"/>
            <w:vAlign w:val="center"/>
          </w:tcPr>
          <w:p w14:paraId="3D3CEBA3">
            <w:pPr>
              <w:jc w:val="center"/>
              <w:rPr>
                <w:rFonts w:hint="eastAsia" w:ascii="宋体" w:hAnsi="宋体" w:eastAsia="宋体" w:cs="宋体"/>
                <w:color w:val="auto"/>
                <w:highlight w:val="none"/>
              </w:rPr>
            </w:pPr>
          </w:p>
        </w:tc>
        <w:tc>
          <w:tcPr>
            <w:tcW w:w="1623" w:type="dxa"/>
            <w:vAlign w:val="center"/>
          </w:tcPr>
          <w:p w14:paraId="39BEC447">
            <w:pPr>
              <w:jc w:val="center"/>
              <w:rPr>
                <w:rFonts w:hint="eastAsia" w:ascii="宋体" w:hAnsi="宋体" w:eastAsia="宋体" w:cs="宋体"/>
                <w:color w:val="auto"/>
                <w:highlight w:val="none"/>
              </w:rPr>
            </w:pPr>
          </w:p>
        </w:tc>
        <w:tc>
          <w:tcPr>
            <w:tcW w:w="1923" w:type="dxa"/>
            <w:vAlign w:val="center"/>
          </w:tcPr>
          <w:p w14:paraId="78C16C54">
            <w:pPr>
              <w:jc w:val="center"/>
              <w:rPr>
                <w:rFonts w:hint="eastAsia" w:ascii="宋体" w:hAnsi="宋体" w:eastAsia="宋体" w:cs="宋体"/>
                <w:color w:val="auto"/>
                <w:highlight w:val="none"/>
              </w:rPr>
            </w:pPr>
          </w:p>
        </w:tc>
        <w:tc>
          <w:tcPr>
            <w:tcW w:w="845" w:type="dxa"/>
            <w:vAlign w:val="center"/>
          </w:tcPr>
          <w:p w14:paraId="0A783E45">
            <w:pPr>
              <w:jc w:val="center"/>
              <w:rPr>
                <w:rFonts w:hint="eastAsia" w:ascii="宋体" w:hAnsi="宋体" w:eastAsia="宋体" w:cs="宋体"/>
                <w:color w:val="auto"/>
                <w:highlight w:val="none"/>
              </w:rPr>
            </w:pPr>
          </w:p>
        </w:tc>
        <w:tc>
          <w:tcPr>
            <w:tcW w:w="805" w:type="dxa"/>
            <w:vAlign w:val="center"/>
          </w:tcPr>
          <w:p w14:paraId="22C01884">
            <w:pPr>
              <w:jc w:val="center"/>
              <w:rPr>
                <w:rFonts w:hint="eastAsia" w:ascii="宋体" w:hAnsi="宋体" w:eastAsia="宋体" w:cs="宋体"/>
                <w:color w:val="auto"/>
                <w:highlight w:val="none"/>
              </w:rPr>
            </w:pPr>
          </w:p>
        </w:tc>
        <w:tc>
          <w:tcPr>
            <w:tcW w:w="2670" w:type="dxa"/>
            <w:vAlign w:val="center"/>
          </w:tcPr>
          <w:p w14:paraId="5C49C2A0">
            <w:pPr>
              <w:jc w:val="center"/>
              <w:rPr>
                <w:rFonts w:hint="eastAsia" w:ascii="宋体" w:hAnsi="宋体" w:eastAsia="宋体" w:cs="宋体"/>
                <w:color w:val="auto"/>
                <w:highlight w:val="none"/>
              </w:rPr>
            </w:pPr>
          </w:p>
        </w:tc>
      </w:tr>
      <w:tr w14:paraId="4A7EB1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9" w:hRule="atLeast"/>
        </w:trPr>
        <w:tc>
          <w:tcPr>
            <w:tcW w:w="466" w:type="dxa"/>
            <w:vAlign w:val="center"/>
          </w:tcPr>
          <w:p w14:paraId="35947902">
            <w:pPr>
              <w:jc w:val="center"/>
              <w:rPr>
                <w:rFonts w:hint="eastAsia" w:ascii="宋体" w:hAnsi="宋体" w:eastAsia="宋体" w:cs="宋体"/>
                <w:color w:val="auto"/>
                <w:sz w:val="24"/>
                <w:szCs w:val="24"/>
                <w:highlight w:val="none"/>
              </w:rPr>
            </w:pPr>
          </w:p>
        </w:tc>
        <w:tc>
          <w:tcPr>
            <w:tcW w:w="1606" w:type="dxa"/>
            <w:vAlign w:val="center"/>
          </w:tcPr>
          <w:p w14:paraId="0C3EED2B">
            <w:pPr>
              <w:jc w:val="center"/>
              <w:rPr>
                <w:rFonts w:hint="eastAsia" w:ascii="宋体" w:hAnsi="宋体" w:eastAsia="宋体" w:cs="宋体"/>
                <w:color w:val="auto"/>
                <w:highlight w:val="none"/>
              </w:rPr>
            </w:pPr>
          </w:p>
        </w:tc>
        <w:tc>
          <w:tcPr>
            <w:tcW w:w="1623" w:type="dxa"/>
            <w:vAlign w:val="center"/>
          </w:tcPr>
          <w:p w14:paraId="50EBF797">
            <w:pPr>
              <w:jc w:val="center"/>
              <w:rPr>
                <w:rFonts w:hint="eastAsia" w:ascii="宋体" w:hAnsi="宋体" w:eastAsia="宋体" w:cs="宋体"/>
                <w:color w:val="auto"/>
                <w:highlight w:val="none"/>
              </w:rPr>
            </w:pPr>
          </w:p>
        </w:tc>
        <w:tc>
          <w:tcPr>
            <w:tcW w:w="1923" w:type="dxa"/>
            <w:vAlign w:val="center"/>
          </w:tcPr>
          <w:p w14:paraId="3A64C884">
            <w:pPr>
              <w:jc w:val="center"/>
              <w:rPr>
                <w:rFonts w:hint="eastAsia" w:ascii="宋体" w:hAnsi="宋体" w:eastAsia="宋体" w:cs="宋体"/>
                <w:color w:val="auto"/>
                <w:highlight w:val="none"/>
              </w:rPr>
            </w:pPr>
          </w:p>
        </w:tc>
        <w:tc>
          <w:tcPr>
            <w:tcW w:w="845" w:type="dxa"/>
            <w:vAlign w:val="center"/>
          </w:tcPr>
          <w:p w14:paraId="21D46DE2">
            <w:pPr>
              <w:jc w:val="center"/>
              <w:rPr>
                <w:rFonts w:hint="eastAsia" w:ascii="宋体" w:hAnsi="宋体" w:eastAsia="宋体" w:cs="宋体"/>
                <w:color w:val="auto"/>
                <w:highlight w:val="none"/>
              </w:rPr>
            </w:pPr>
          </w:p>
        </w:tc>
        <w:tc>
          <w:tcPr>
            <w:tcW w:w="805" w:type="dxa"/>
            <w:vAlign w:val="center"/>
          </w:tcPr>
          <w:p w14:paraId="522E7BBB">
            <w:pPr>
              <w:jc w:val="center"/>
              <w:rPr>
                <w:rFonts w:hint="eastAsia" w:ascii="宋体" w:hAnsi="宋体" w:eastAsia="宋体" w:cs="宋体"/>
                <w:color w:val="auto"/>
                <w:highlight w:val="none"/>
              </w:rPr>
            </w:pPr>
          </w:p>
        </w:tc>
        <w:tc>
          <w:tcPr>
            <w:tcW w:w="2670" w:type="dxa"/>
            <w:vAlign w:val="center"/>
          </w:tcPr>
          <w:p w14:paraId="600D0FD9">
            <w:pPr>
              <w:jc w:val="center"/>
              <w:rPr>
                <w:rFonts w:hint="eastAsia" w:ascii="宋体" w:hAnsi="宋体" w:eastAsia="宋体" w:cs="宋体"/>
                <w:color w:val="auto"/>
                <w:highlight w:val="none"/>
              </w:rPr>
            </w:pPr>
          </w:p>
        </w:tc>
      </w:tr>
      <w:tr w14:paraId="35098A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7" w:hRule="atLeast"/>
        </w:trPr>
        <w:tc>
          <w:tcPr>
            <w:tcW w:w="466" w:type="dxa"/>
            <w:vAlign w:val="center"/>
          </w:tcPr>
          <w:p w14:paraId="0AD8808B">
            <w:pPr>
              <w:jc w:val="center"/>
              <w:rPr>
                <w:rFonts w:hint="eastAsia" w:ascii="宋体" w:hAnsi="宋体" w:eastAsia="宋体" w:cs="宋体"/>
                <w:color w:val="auto"/>
                <w:sz w:val="24"/>
                <w:szCs w:val="24"/>
                <w:highlight w:val="none"/>
              </w:rPr>
            </w:pPr>
          </w:p>
        </w:tc>
        <w:tc>
          <w:tcPr>
            <w:tcW w:w="1606" w:type="dxa"/>
            <w:vAlign w:val="center"/>
          </w:tcPr>
          <w:p w14:paraId="0B897ED6">
            <w:pPr>
              <w:jc w:val="center"/>
              <w:rPr>
                <w:rFonts w:hint="eastAsia" w:ascii="宋体" w:hAnsi="宋体" w:eastAsia="宋体" w:cs="宋体"/>
                <w:color w:val="auto"/>
                <w:sz w:val="24"/>
                <w:szCs w:val="24"/>
                <w:highlight w:val="none"/>
              </w:rPr>
            </w:pPr>
          </w:p>
        </w:tc>
        <w:tc>
          <w:tcPr>
            <w:tcW w:w="1623" w:type="dxa"/>
            <w:vAlign w:val="center"/>
          </w:tcPr>
          <w:p w14:paraId="7C7A0B01">
            <w:pPr>
              <w:jc w:val="center"/>
              <w:rPr>
                <w:rFonts w:hint="eastAsia" w:ascii="宋体" w:hAnsi="宋体" w:eastAsia="宋体" w:cs="宋体"/>
                <w:color w:val="auto"/>
                <w:highlight w:val="none"/>
              </w:rPr>
            </w:pPr>
          </w:p>
        </w:tc>
        <w:tc>
          <w:tcPr>
            <w:tcW w:w="1923" w:type="dxa"/>
            <w:vAlign w:val="center"/>
          </w:tcPr>
          <w:p w14:paraId="3B164989">
            <w:pPr>
              <w:jc w:val="center"/>
              <w:rPr>
                <w:rFonts w:hint="eastAsia" w:ascii="宋体" w:hAnsi="宋体" w:eastAsia="宋体" w:cs="宋体"/>
                <w:color w:val="auto"/>
                <w:highlight w:val="none"/>
              </w:rPr>
            </w:pPr>
          </w:p>
        </w:tc>
        <w:tc>
          <w:tcPr>
            <w:tcW w:w="845" w:type="dxa"/>
            <w:vAlign w:val="center"/>
          </w:tcPr>
          <w:p w14:paraId="0A247C11">
            <w:pPr>
              <w:jc w:val="center"/>
              <w:rPr>
                <w:rFonts w:hint="eastAsia" w:ascii="宋体" w:hAnsi="宋体" w:eastAsia="宋体" w:cs="宋体"/>
                <w:color w:val="auto"/>
                <w:highlight w:val="none"/>
              </w:rPr>
            </w:pPr>
          </w:p>
        </w:tc>
        <w:tc>
          <w:tcPr>
            <w:tcW w:w="805" w:type="dxa"/>
            <w:vAlign w:val="center"/>
          </w:tcPr>
          <w:p w14:paraId="0BC9491F">
            <w:pPr>
              <w:jc w:val="center"/>
              <w:rPr>
                <w:rFonts w:hint="eastAsia" w:ascii="宋体" w:hAnsi="宋体" w:eastAsia="宋体" w:cs="宋体"/>
                <w:color w:val="auto"/>
                <w:highlight w:val="none"/>
              </w:rPr>
            </w:pPr>
          </w:p>
        </w:tc>
        <w:tc>
          <w:tcPr>
            <w:tcW w:w="2670" w:type="dxa"/>
            <w:vAlign w:val="center"/>
          </w:tcPr>
          <w:p w14:paraId="76676374">
            <w:pPr>
              <w:jc w:val="center"/>
              <w:rPr>
                <w:rFonts w:hint="eastAsia" w:ascii="宋体" w:hAnsi="宋体" w:eastAsia="宋体" w:cs="宋体"/>
                <w:color w:val="auto"/>
                <w:highlight w:val="none"/>
              </w:rPr>
            </w:pPr>
          </w:p>
        </w:tc>
      </w:tr>
    </w:tbl>
    <w:p w14:paraId="3F2E5EE8">
      <w:pPr>
        <w:spacing w:line="44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注：1、投标人应根据“第四章 采购需求”中的“</w:t>
      </w:r>
      <w:r>
        <w:rPr>
          <w:rFonts w:hint="eastAsia" w:ascii="宋体" w:hAnsi="宋体" w:eastAsia="宋体" w:cs="宋体"/>
          <w:bCs/>
          <w:color w:val="auto"/>
          <w:sz w:val="24"/>
          <w:szCs w:val="24"/>
          <w:highlight w:val="none"/>
          <w:lang w:val="en-US" w:eastAsia="zh-CN"/>
        </w:rPr>
        <w:t>二、项目服务要求</w:t>
      </w:r>
      <w:r>
        <w:rPr>
          <w:rFonts w:hint="eastAsia" w:ascii="宋体" w:hAnsi="宋体" w:eastAsia="宋体" w:cs="宋体"/>
          <w:bCs/>
          <w:color w:val="auto"/>
          <w:sz w:val="24"/>
          <w:szCs w:val="24"/>
          <w:highlight w:val="none"/>
        </w:rPr>
        <w:t>”，对照投标人所提供的服务承诺进行逐项评议。</w:t>
      </w:r>
    </w:p>
    <w:p w14:paraId="07B9F974">
      <w:pPr>
        <w:spacing w:line="500" w:lineRule="exact"/>
        <w:ind w:firstLine="480" w:firstLineChars="200"/>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rPr>
        <w:t>2、若无偏离，在“有无偏离”栏中填写“无偏离”；若有偏离在“有偏离”栏中填写“正偏离”或“负偏离”，并在“偏离内容”栏中作出说明。</w:t>
      </w:r>
    </w:p>
    <w:p w14:paraId="23FA28E9">
      <w:pPr>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3、表格不够可另接。</w:t>
      </w:r>
    </w:p>
    <w:p w14:paraId="3F2F7C79">
      <w:pPr>
        <w:rPr>
          <w:rFonts w:hint="eastAsia" w:ascii="宋体" w:hAnsi="宋体" w:eastAsia="宋体" w:cs="宋体"/>
          <w:color w:val="auto"/>
          <w:highlight w:val="none"/>
        </w:rPr>
      </w:pPr>
      <w:r>
        <w:rPr>
          <w:rFonts w:hint="eastAsia" w:ascii="宋体" w:hAnsi="宋体" w:eastAsia="宋体" w:cs="宋体"/>
          <w:color w:val="auto"/>
          <w:highlight w:val="none"/>
        </w:rPr>
        <w:br w:type="page"/>
      </w:r>
    </w:p>
    <w:p w14:paraId="4A084F0A">
      <w:pPr>
        <w:pStyle w:val="3"/>
        <w:rPr>
          <w:rFonts w:hint="eastAsia" w:ascii="宋体" w:hAnsi="宋体" w:eastAsia="宋体" w:cs="宋体"/>
          <w:color w:val="auto"/>
          <w:highlight w:val="none"/>
        </w:rPr>
      </w:pPr>
      <w:bookmarkStart w:id="317" w:name="_Toc3515"/>
      <w:r>
        <w:rPr>
          <w:rFonts w:hint="eastAsia" w:ascii="宋体" w:hAnsi="宋体" w:eastAsia="宋体" w:cs="宋体"/>
          <w:color w:val="auto"/>
          <w:highlight w:val="none"/>
        </w:rPr>
        <w:t>附件1</w:t>
      </w:r>
      <w:r>
        <w:rPr>
          <w:rFonts w:hint="eastAsia" w:ascii="宋体" w:hAnsi="宋体" w:eastAsia="宋体" w:cs="宋体"/>
          <w:color w:val="auto"/>
          <w:highlight w:val="none"/>
          <w:lang w:val="en-US" w:eastAsia="zh-CN"/>
        </w:rPr>
        <w:t>0</w:t>
      </w:r>
      <w:r>
        <w:rPr>
          <w:rFonts w:hint="eastAsia" w:ascii="宋体" w:hAnsi="宋体" w:eastAsia="宋体" w:cs="宋体"/>
          <w:color w:val="auto"/>
          <w:highlight w:val="none"/>
        </w:rPr>
        <w:t xml:space="preserve"> 项目实施方案</w:t>
      </w:r>
      <w:bookmarkEnd w:id="317"/>
    </w:p>
    <w:p w14:paraId="406686EF">
      <w:pPr>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根据“第五章  评审方法与评审标准”提供相关说明及证明材料</w:t>
      </w:r>
      <w:bookmarkEnd w:id="295"/>
      <w:bookmarkStart w:id="318" w:name="_Toc42157463"/>
    </w:p>
    <w:bookmarkEnd w:id="318"/>
    <w:p w14:paraId="3C6ACCDE">
      <w:pPr>
        <w:rPr>
          <w:rFonts w:hint="eastAsia" w:ascii="宋体" w:hAnsi="宋体" w:eastAsia="宋体" w:cs="宋体"/>
          <w:color w:val="auto"/>
          <w:highlight w:val="none"/>
        </w:rPr>
      </w:pPr>
      <w:bookmarkStart w:id="319" w:name="_Toc631"/>
      <w:bookmarkStart w:id="320" w:name="_Toc321922918"/>
      <w:bookmarkStart w:id="321" w:name="_Toc69302318"/>
      <w:bookmarkStart w:id="322" w:name="_Toc472326802"/>
      <w:bookmarkStart w:id="323" w:name="_Toc511680884"/>
      <w:r>
        <w:rPr>
          <w:rFonts w:hint="eastAsia" w:ascii="宋体" w:hAnsi="宋体" w:eastAsia="宋体" w:cs="宋体"/>
          <w:color w:val="auto"/>
          <w:highlight w:val="none"/>
        </w:rPr>
        <w:br w:type="page"/>
      </w:r>
    </w:p>
    <w:p w14:paraId="422D217E">
      <w:pPr>
        <w:pStyle w:val="3"/>
        <w:rPr>
          <w:rFonts w:hint="eastAsia" w:ascii="宋体" w:hAnsi="宋体" w:eastAsia="宋体" w:cs="宋体"/>
          <w:color w:val="auto"/>
          <w:highlight w:val="none"/>
        </w:rPr>
      </w:pPr>
      <w:bookmarkStart w:id="324" w:name="_Toc14873"/>
      <w:r>
        <w:rPr>
          <w:rFonts w:hint="eastAsia" w:ascii="宋体" w:hAnsi="宋体" w:eastAsia="宋体" w:cs="宋体"/>
          <w:color w:val="auto"/>
          <w:highlight w:val="none"/>
        </w:rPr>
        <w:t>附件1</w:t>
      </w:r>
      <w:r>
        <w:rPr>
          <w:rFonts w:hint="eastAsia" w:ascii="宋体" w:hAnsi="宋体" w:eastAsia="宋体" w:cs="宋体"/>
          <w:color w:val="auto"/>
          <w:highlight w:val="none"/>
          <w:lang w:val="en-US" w:eastAsia="zh-CN"/>
        </w:rPr>
        <w:t>1</w:t>
      </w:r>
      <w:r>
        <w:rPr>
          <w:rFonts w:hint="eastAsia" w:ascii="宋体" w:hAnsi="宋体" w:eastAsia="宋体" w:cs="宋体"/>
          <w:color w:val="auto"/>
          <w:highlight w:val="none"/>
        </w:rPr>
        <w:t xml:space="preserve"> 项目组人员一览表</w:t>
      </w:r>
      <w:bookmarkEnd w:id="324"/>
    </w:p>
    <w:bookmarkEnd w:id="319"/>
    <w:tbl>
      <w:tblPr>
        <w:tblStyle w:val="54"/>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76"/>
        <w:gridCol w:w="1926"/>
        <w:gridCol w:w="845"/>
        <w:gridCol w:w="764"/>
        <w:gridCol w:w="764"/>
        <w:gridCol w:w="750"/>
        <w:gridCol w:w="886"/>
        <w:gridCol w:w="1766"/>
        <w:gridCol w:w="1087"/>
      </w:tblGrid>
      <w:tr w14:paraId="35BB49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5" w:hRule="atLeast"/>
          <w:jc w:val="center"/>
        </w:trPr>
        <w:tc>
          <w:tcPr>
            <w:tcW w:w="876" w:type="dxa"/>
            <w:noWrap/>
            <w:vAlign w:val="center"/>
          </w:tcPr>
          <w:p w14:paraId="02A0929A">
            <w:pPr>
              <w:pStyle w:val="19"/>
              <w:overflowPunct w:val="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序号</w:t>
            </w:r>
          </w:p>
        </w:tc>
        <w:tc>
          <w:tcPr>
            <w:tcW w:w="1926" w:type="dxa"/>
            <w:noWrap/>
            <w:vAlign w:val="center"/>
          </w:tcPr>
          <w:p w14:paraId="730324D5">
            <w:pPr>
              <w:pStyle w:val="32"/>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项目组所任职务</w:t>
            </w:r>
          </w:p>
        </w:tc>
        <w:tc>
          <w:tcPr>
            <w:tcW w:w="845" w:type="dxa"/>
            <w:noWrap/>
            <w:vAlign w:val="center"/>
          </w:tcPr>
          <w:p w14:paraId="50F2CDBF">
            <w:pPr>
              <w:pStyle w:val="32"/>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姓名</w:t>
            </w:r>
          </w:p>
        </w:tc>
        <w:tc>
          <w:tcPr>
            <w:tcW w:w="764" w:type="dxa"/>
            <w:noWrap/>
            <w:vAlign w:val="center"/>
          </w:tcPr>
          <w:p w14:paraId="1CB58624">
            <w:pPr>
              <w:pStyle w:val="32"/>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年龄</w:t>
            </w:r>
          </w:p>
        </w:tc>
        <w:tc>
          <w:tcPr>
            <w:tcW w:w="764" w:type="dxa"/>
            <w:noWrap/>
            <w:vAlign w:val="center"/>
          </w:tcPr>
          <w:p w14:paraId="7EB48F03">
            <w:pPr>
              <w:pStyle w:val="32"/>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职称</w:t>
            </w:r>
          </w:p>
        </w:tc>
        <w:tc>
          <w:tcPr>
            <w:tcW w:w="750" w:type="dxa"/>
            <w:noWrap/>
            <w:vAlign w:val="center"/>
          </w:tcPr>
          <w:p w14:paraId="1200BB4B">
            <w:pPr>
              <w:pStyle w:val="32"/>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专业</w:t>
            </w:r>
          </w:p>
        </w:tc>
        <w:tc>
          <w:tcPr>
            <w:tcW w:w="886" w:type="dxa"/>
            <w:noWrap/>
            <w:vAlign w:val="center"/>
          </w:tcPr>
          <w:p w14:paraId="7DAACD12">
            <w:pPr>
              <w:pStyle w:val="32"/>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学历</w:t>
            </w:r>
          </w:p>
        </w:tc>
        <w:tc>
          <w:tcPr>
            <w:tcW w:w="1766" w:type="dxa"/>
            <w:noWrap/>
            <w:vAlign w:val="center"/>
          </w:tcPr>
          <w:p w14:paraId="765D7290">
            <w:pPr>
              <w:pStyle w:val="32"/>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典型业务</w:t>
            </w:r>
          </w:p>
          <w:p w14:paraId="32653908">
            <w:pPr>
              <w:pStyle w:val="32"/>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与技术专长</w:t>
            </w:r>
          </w:p>
        </w:tc>
        <w:tc>
          <w:tcPr>
            <w:tcW w:w="1087" w:type="dxa"/>
            <w:noWrap/>
            <w:vAlign w:val="center"/>
          </w:tcPr>
          <w:p w14:paraId="0D7A4072">
            <w:pPr>
              <w:pStyle w:val="19"/>
              <w:overflowPunct w:val="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备  注</w:t>
            </w:r>
          </w:p>
        </w:tc>
      </w:tr>
      <w:tr w14:paraId="02927E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876" w:type="dxa"/>
            <w:noWrap/>
            <w:vAlign w:val="center"/>
          </w:tcPr>
          <w:p w14:paraId="1DCA187F">
            <w:pPr>
              <w:pStyle w:val="19"/>
              <w:overflowPunct w:val="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p>
        </w:tc>
        <w:tc>
          <w:tcPr>
            <w:tcW w:w="1926" w:type="dxa"/>
            <w:noWrap/>
            <w:vAlign w:val="center"/>
          </w:tcPr>
          <w:p w14:paraId="73408D1F">
            <w:pPr>
              <w:pStyle w:val="19"/>
              <w:overflowPunct w:val="0"/>
              <w:jc w:val="center"/>
              <w:rPr>
                <w:rFonts w:hint="eastAsia" w:ascii="宋体" w:hAnsi="宋体" w:eastAsia="宋体" w:cs="宋体"/>
                <w:color w:val="auto"/>
                <w:sz w:val="24"/>
                <w:szCs w:val="24"/>
                <w:highlight w:val="none"/>
              </w:rPr>
            </w:pPr>
          </w:p>
        </w:tc>
        <w:tc>
          <w:tcPr>
            <w:tcW w:w="845" w:type="dxa"/>
            <w:noWrap/>
            <w:vAlign w:val="center"/>
          </w:tcPr>
          <w:p w14:paraId="15AFF115">
            <w:pPr>
              <w:pStyle w:val="19"/>
              <w:overflowPunct w:val="0"/>
              <w:jc w:val="center"/>
              <w:rPr>
                <w:rFonts w:hint="eastAsia" w:ascii="宋体" w:hAnsi="宋体" w:eastAsia="宋体" w:cs="宋体"/>
                <w:color w:val="auto"/>
                <w:sz w:val="24"/>
                <w:szCs w:val="24"/>
                <w:highlight w:val="none"/>
              </w:rPr>
            </w:pPr>
          </w:p>
        </w:tc>
        <w:tc>
          <w:tcPr>
            <w:tcW w:w="764" w:type="dxa"/>
            <w:noWrap/>
            <w:vAlign w:val="center"/>
          </w:tcPr>
          <w:p w14:paraId="53953876">
            <w:pPr>
              <w:pStyle w:val="19"/>
              <w:overflowPunct w:val="0"/>
              <w:jc w:val="center"/>
              <w:rPr>
                <w:rFonts w:hint="eastAsia" w:ascii="宋体" w:hAnsi="宋体" w:eastAsia="宋体" w:cs="宋体"/>
                <w:color w:val="auto"/>
                <w:sz w:val="24"/>
                <w:szCs w:val="24"/>
                <w:highlight w:val="none"/>
              </w:rPr>
            </w:pPr>
          </w:p>
        </w:tc>
        <w:tc>
          <w:tcPr>
            <w:tcW w:w="764" w:type="dxa"/>
            <w:noWrap/>
            <w:vAlign w:val="center"/>
          </w:tcPr>
          <w:p w14:paraId="25A63AC1">
            <w:pPr>
              <w:pStyle w:val="19"/>
              <w:overflowPunct w:val="0"/>
              <w:jc w:val="center"/>
              <w:rPr>
                <w:rFonts w:hint="eastAsia" w:ascii="宋体" w:hAnsi="宋体" w:eastAsia="宋体" w:cs="宋体"/>
                <w:color w:val="auto"/>
                <w:sz w:val="24"/>
                <w:szCs w:val="24"/>
                <w:highlight w:val="none"/>
              </w:rPr>
            </w:pPr>
          </w:p>
        </w:tc>
        <w:tc>
          <w:tcPr>
            <w:tcW w:w="750" w:type="dxa"/>
            <w:noWrap/>
            <w:vAlign w:val="center"/>
          </w:tcPr>
          <w:p w14:paraId="08BB2A5E">
            <w:pPr>
              <w:pStyle w:val="19"/>
              <w:overflowPunct w:val="0"/>
              <w:jc w:val="center"/>
              <w:rPr>
                <w:rFonts w:hint="eastAsia" w:ascii="宋体" w:hAnsi="宋体" w:eastAsia="宋体" w:cs="宋体"/>
                <w:color w:val="auto"/>
                <w:sz w:val="24"/>
                <w:szCs w:val="24"/>
                <w:highlight w:val="none"/>
              </w:rPr>
            </w:pPr>
          </w:p>
        </w:tc>
        <w:tc>
          <w:tcPr>
            <w:tcW w:w="886" w:type="dxa"/>
            <w:noWrap/>
            <w:vAlign w:val="center"/>
          </w:tcPr>
          <w:p w14:paraId="0F71384C">
            <w:pPr>
              <w:pStyle w:val="19"/>
              <w:overflowPunct w:val="0"/>
              <w:jc w:val="center"/>
              <w:rPr>
                <w:rFonts w:hint="eastAsia" w:ascii="宋体" w:hAnsi="宋体" w:eastAsia="宋体" w:cs="宋体"/>
                <w:color w:val="auto"/>
                <w:sz w:val="24"/>
                <w:szCs w:val="24"/>
                <w:highlight w:val="none"/>
              </w:rPr>
            </w:pPr>
          </w:p>
        </w:tc>
        <w:tc>
          <w:tcPr>
            <w:tcW w:w="1766" w:type="dxa"/>
            <w:noWrap/>
            <w:vAlign w:val="center"/>
          </w:tcPr>
          <w:p w14:paraId="3EB9AA5E">
            <w:pPr>
              <w:pStyle w:val="19"/>
              <w:overflowPunct w:val="0"/>
              <w:jc w:val="center"/>
              <w:rPr>
                <w:rFonts w:hint="eastAsia" w:ascii="宋体" w:hAnsi="宋体" w:eastAsia="宋体" w:cs="宋体"/>
                <w:color w:val="auto"/>
                <w:sz w:val="24"/>
                <w:szCs w:val="24"/>
                <w:highlight w:val="none"/>
              </w:rPr>
            </w:pPr>
          </w:p>
        </w:tc>
        <w:tc>
          <w:tcPr>
            <w:tcW w:w="1087" w:type="dxa"/>
            <w:noWrap/>
            <w:vAlign w:val="center"/>
          </w:tcPr>
          <w:p w14:paraId="28CB226D">
            <w:pPr>
              <w:pStyle w:val="19"/>
              <w:overflowPunct w:val="0"/>
              <w:jc w:val="center"/>
              <w:rPr>
                <w:rFonts w:hint="eastAsia" w:ascii="宋体" w:hAnsi="宋体" w:eastAsia="宋体" w:cs="宋体"/>
                <w:color w:val="auto"/>
                <w:sz w:val="24"/>
                <w:szCs w:val="24"/>
                <w:highlight w:val="none"/>
              </w:rPr>
            </w:pPr>
          </w:p>
        </w:tc>
      </w:tr>
      <w:tr w14:paraId="21278C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876" w:type="dxa"/>
            <w:noWrap/>
            <w:vAlign w:val="center"/>
          </w:tcPr>
          <w:p w14:paraId="72AACFCE">
            <w:pPr>
              <w:pStyle w:val="19"/>
              <w:overflowPunct w:val="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p>
        </w:tc>
        <w:tc>
          <w:tcPr>
            <w:tcW w:w="1926" w:type="dxa"/>
            <w:noWrap/>
            <w:vAlign w:val="center"/>
          </w:tcPr>
          <w:p w14:paraId="6FC32554">
            <w:pPr>
              <w:pStyle w:val="19"/>
              <w:overflowPunct w:val="0"/>
              <w:jc w:val="center"/>
              <w:rPr>
                <w:rFonts w:hint="eastAsia" w:ascii="宋体" w:hAnsi="宋体" w:eastAsia="宋体" w:cs="宋体"/>
                <w:color w:val="auto"/>
                <w:sz w:val="24"/>
                <w:szCs w:val="24"/>
                <w:highlight w:val="none"/>
              </w:rPr>
            </w:pPr>
          </w:p>
        </w:tc>
        <w:tc>
          <w:tcPr>
            <w:tcW w:w="845" w:type="dxa"/>
            <w:noWrap/>
            <w:vAlign w:val="center"/>
          </w:tcPr>
          <w:p w14:paraId="2ED93DC7">
            <w:pPr>
              <w:pStyle w:val="19"/>
              <w:overflowPunct w:val="0"/>
              <w:jc w:val="center"/>
              <w:rPr>
                <w:rFonts w:hint="eastAsia" w:ascii="宋体" w:hAnsi="宋体" w:eastAsia="宋体" w:cs="宋体"/>
                <w:color w:val="auto"/>
                <w:sz w:val="24"/>
                <w:szCs w:val="24"/>
                <w:highlight w:val="none"/>
              </w:rPr>
            </w:pPr>
          </w:p>
        </w:tc>
        <w:tc>
          <w:tcPr>
            <w:tcW w:w="764" w:type="dxa"/>
            <w:noWrap/>
            <w:vAlign w:val="center"/>
          </w:tcPr>
          <w:p w14:paraId="1BB7DD7B">
            <w:pPr>
              <w:pStyle w:val="19"/>
              <w:overflowPunct w:val="0"/>
              <w:jc w:val="center"/>
              <w:rPr>
                <w:rFonts w:hint="eastAsia" w:ascii="宋体" w:hAnsi="宋体" w:eastAsia="宋体" w:cs="宋体"/>
                <w:color w:val="auto"/>
                <w:sz w:val="24"/>
                <w:szCs w:val="24"/>
                <w:highlight w:val="none"/>
              </w:rPr>
            </w:pPr>
          </w:p>
        </w:tc>
        <w:tc>
          <w:tcPr>
            <w:tcW w:w="764" w:type="dxa"/>
            <w:noWrap/>
            <w:vAlign w:val="center"/>
          </w:tcPr>
          <w:p w14:paraId="5C29CFE3">
            <w:pPr>
              <w:pStyle w:val="19"/>
              <w:overflowPunct w:val="0"/>
              <w:jc w:val="center"/>
              <w:rPr>
                <w:rFonts w:hint="eastAsia" w:ascii="宋体" w:hAnsi="宋体" w:eastAsia="宋体" w:cs="宋体"/>
                <w:color w:val="auto"/>
                <w:sz w:val="24"/>
                <w:szCs w:val="24"/>
                <w:highlight w:val="none"/>
              </w:rPr>
            </w:pPr>
          </w:p>
        </w:tc>
        <w:tc>
          <w:tcPr>
            <w:tcW w:w="750" w:type="dxa"/>
            <w:noWrap/>
            <w:vAlign w:val="center"/>
          </w:tcPr>
          <w:p w14:paraId="3C766E90">
            <w:pPr>
              <w:pStyle w:val="19"/>
              <w:overflowPunct w:val="0"/>
              <w:jc w:val="center"/>
              <w:rPr>
                <w:rFonts w:hint="eastAsia" w:ascii="宋体" w:hAnsi="宋体" w:eastAsia="宋体" w:cs="宋体"/>
                <w:color w:val="auto"/>
                <w:sz w:val="24"/>
                <w:szCs w:val="24"/>
                <w:highlight w:val="none"/>
              </w:rPr>
            </w:pPr>
          </w:p>
        </w:tc>
        <w:tc>
          <w:tcPr>
            <w:tcW w:w="886" w:type="dxa"/>
            <w:noWrap/>
            <w:vAlign w:val="center"/>
          </w:tcPr>
          <w:p w14:paraId="37ACE197">
            <w:pPr>
              <w:pStyle w:val="19"/>
              <w:overflowPunct w:val="0"/>
              <w:jc w:val="center"/>
              <w:rPr>
                <w:rFonts w:hint="eastAsia" w:ascii="宋体" w:hAnsi="宋体" w:eastAsia="宋体" w:cs="宋体"/>
                <w:color w:val="auto"/>
                <w:sz w:val="24"/>
                <w:szCs w:val="24"/>
                <w:highlight w:val="none"/>
              </w:rPr>
            </w:pPr>
          </w:p>
        </w:tc>
        <w:tc>
          <w:tcPr>
            <w:tcW w:w="1766" w:type="dxa"/>
            <w:noWrap/>
            <w:vAlign w:val="center"/>
          </w:tcPr>
          <w:p w14:paraId="5DDE8DB5">
            <w:pPr>
              <w:pStyle w:val="19"/>
              <w:overflowPunct w:val="0"/>
              <w:jc w:val="center"/>
              <w:rPr>
                <w:rFonts w:hint="eastAsia" w:ascii="宋体" w:hAnsi="宋体" w:eastAsia="宋体" w:cs="宋体"/>
                <w:color w:val="auto"/>
                <w:sz w:val="24"/>
                <w:szCs w:val="24"/>
                <w:highlight w:val="none"/>
              </w:rPr>
            </w:pPr>
          </w:p>
        </w:tc>
        <w:tc>
          <w:tcPr>
            <w:tcW w:w="1087" w:type="dxa"/>
            <w:noWrap/>
            <w:vAlign w:val="center"/>
          </w:tcPr>
          <w:p w14:paraId="69204DD5">
            <w:pPr>
              <w:pStyle w:val="19"/>
              <w:overflowPunct w:val="0"/>
              <w:jc w:val="center"/>
              <w:rPr>
                <w:rFonts w:hint="eastAsia" w:ascii="宋体" w:hAnsi="宋体" w:eastAsia="宋体" w:cs="宋体"/>
                <w:color w:val="auto"/>
                <w:sz w:val="24"/>
                <w:szCs w:val="24"/>
                <w:highlight w:val="none"/>
              </w:rPr>
            </w:pPr>
          </w:p>
        </w:tc>
      </w:tr>
      <w:tr w14:paraId="752A7F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876" w:type="dxa"/>
            <w:noWrap/>
            <w:vAlign w:val="center"/>
          </w:tcPr>
          <w:p w14:paraId="439BBB81">
            <w:pPr>
              <w:pStyle w:val="19"/>
              <w:overflowPunct w:val="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w:t>
            </w:r>
          </w:p>
        </w:tc>
        <w:tc>
          <w:tcPr>
            <w:tcW w:w="1926" w:type="dxa"/>
            <w:noWrap/>
            <w:vAlign w:val="center"/>
          </w:tcPr>
          <w:p w14:paraId="19259622">
            <w:pPr>
              <w:pStyle w:val="19"/>
              <w:overflowPunct w:val="0"/>
              <w:jc w:val="center"/>
              <w:rPr>
                <w:rFonts w:hint="eastAsia" w:ascii="宋体" w:hAnsi="宋体" w:eastAsia="宋体" w:cs="宋体"/>
                <w:color w:val="auto"/>
                <w:sz w:val="24"/>
                <w:szCs w:val="24"/>
                <w:highlight w:val="none"/>
              </w:rPr>
            </w:pPr>
          </w:p>
        </w:tc>
        <w:tc>
          <w:tcPr>
            <w:tcW w:w="845" w:type="dxa"/>
            <w:noWrap/>
            <w:vAlign w:val="center"/>
          </w:tcPr>
          <w:p w14:paraId="530C9159">
            <w:pPr>
              <w:pStyle w:val="19"/>
              <w:overflowPunct w:val="0"/>
              <w:jc w:val="center"/>
              <w:rPr>
                <w:rFonts w:hint="eastAsia" w:ascii="宋体" w:hAnsi="宋体" w:eastAsia="宋体" w:cs="宋体"/>
                <w:color w:val="auto"/>
                <w:sz w:val="24"/>
                <w:szCs w:val="24"/>
                <w:highlight w:val="none"/>
              </w:rPr>
            </w:pPr>
          </w:p>
        </w:tc>
        <w:tc>
          <w:tcPr>
            <w:tcW w:w="764" w:type="dxa"/>
            <w:noWrap/>
            <w:vAlign w:val="center"/>
          </w:tcPr>
          <w:p w14:paraId="2AB40696">
            <w:pPr>
              <w:pStyle w:val="19"/>
              <w:overflowPunct w:val="0"/>
              <w:jc w:val="center"/>
              <w:rPr>
                <w:rFonts w:hint="eastAsia" w:ascii="宋体" w:hAnsi="宋体" w:eastAsia="宋体" w:cs="宋体"/>
                <w:color w:val="auto"/>
                <w:sz w:val="24"/>
                <w:szCs w:val="24"/>
                <w:highlight w:val="none"/>
              </w:rPr>
            </w:pPr>
          </w:p>
        </w:tc>
        <w:tc>
          <w:tcPr>
            <w:tcW w:w="764" w:type="dxa"/>
            <w:noWrap/>
            <w:vAlign w:val="center"/>
          </w:tcPr>
          <w:p w14:paraId="14CFCB4D">
            <w:pPr>
              <w:pStyle w:val="19"/>
              <w:overflowPunct w:val="0"/>
              <w:jc w:val="center"/>
              <w:rPr>
                <w:rFonts w:hint="eastAsia" w:ascii="宋体" w:hAnsi="宋体" w:eastAsia="宋体" w:cs="宋体"/>
                <w:color w:val="auto"/>
                <w:sz w:val="24"/>
                <w:szCs w:val="24"/>
                <w:highlight w:val="none"/>
              </w:rPr>
            </w:pPr>
          </w:p>
        </w:tc>
        <w:tc>
          <w:tcPr>
            <w:tcW w:w="750" w:type="dxa"/>
            <w:noWrap/>
            <w:vAlign w:val="center"/>
          </w:tcPr>
          <w:p w14:paraId="5EFB7950">
            <w:pPr>
              <w:pStyle w:val="19"/>
              <w:overflowPunct w:val="0"/>
              <w:jc w:val="center"/>
              <w:rPr>
                <w:rFonts w:hint="eastAsia" w:ascii="宋体" w:hAnsi="宋体" w:eastAsia="宋体" w:cs="宋体"/>
                <w:color w:val="auto"/>
                <w:sz w:val="24"/>
                <w:szCs w:val="24"/>
                <w:highlight w:val="none"/>
              </w:rPr>
            </w:pPr>
          </w:p>
        </w:tc>
        <w:tc>
          <w:tcPr>
            <w:tcW w:w="886" w:type="dxa"/>
            <w:noWrap/>
            <w:vAlign w:val="center"/>
          </w:tcPr>
          <w:p w14:paraId="74DB0782">
            <w:pPr>
              <w:pStyle w:val="19"/>
              <w:overflowPunct w:val="0"/>
              <w:jc w:val="center"/>
              <w:rPr>
                <w:rFonts w:hint="eastAsia" w:ascii="宋体" w:hAnsi="宋体" w:eastAsia="宋体" w:cs="宋体"/>
                <w:color w:val="auto"/>
                <w:sz w:val="24"/>
                <w:szCs w:val="24"/>
                <w:highlight w:val="none"/>
              </w:rPr>
            </w:pPr>
          </w:p>
        </w:tc>
        <w:tc>
          <w:tcPr>
            <w:tcW w:w="1766" w:type="dxa"/>
            <w:noWrap/>
            <w:vAlign w:val="center"/>
          </w:tcPr>
          <w:p w14:paraId="54E340FA">
            <w:pPr>
              <w:pStyle w:val="19"/>
              <w:overflowPunct w:val="0"/>
              <w:jc w:val="center"/>
              <w:rPr>
                <w:rFonts w:hint="eastAsia" w:ascii="宋体" w:hAnsi="宋体" w:eastAsia="宋体" w:cs="宋体"/>
                <w:color w:val="auto"/>
                <w:sz w:val="24"/>
                <w:szCs w:val="24"/>
                <w:highlight w:val="none"/>
              </w:rPr>
            </w:pPr>
          </w:p>
        </w:tc>
        <w:tc>
          <w:tcPr>
            <w:tcW w:w="1087" w:type="dxa"/>
            <w:noWrap/>
            <w:vAlign w:val="center"/>
          </w:tcPr>
          <w:p w14:paraId="22BC42FC">
            <w:pPr>
              <w:pStyle w:val="19"/>
              <w:overflowPunct w:val="0"/>
              <w:jc w:val="center"/>
              <w:rPr>
                <w:rFonts w:hint="eastAsia" w:ascii="宋体" w:hAnsi="宋体" w:eastAsia="宋体" w:cs="宋体"/>
                <w:color w:val="auto"/>
                <w:sz w:val="24"/>
                <w:szCs w:val="24"/>
                <w:highlight w:val="none"/>
              </w:rPr>
            </w:pPr>
          </w:p>
        </w:tc>
      </w:tr>
      <w:tr w14:paraId="3EA0C5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876" w:type="dxa"/>
            <w:noWrap/>
            <w:vAlign w:val="center"/>
          </w:tcPr>
          <w:p w14:paraId="57273CB3">
            <w:pPr>
              <w:pStyle w:val="19"/>
              <w:overflowPunct w:val="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w:t>
            </w:r>
          </w:p>
        </w:tc>
        <w:tc>
          <w:tcPr>
            <w:tcW w:w="1926" w:type="dxa"/>
            <w:noWrap/>
            <w:vAlign w:val="center"/>
          </w:tcPr>
          <w:p w14:paraId="365FE11F">
            <w:pPr>
              <w:pStyle w:val="19"/>
              <w:overflowPunct w:val="0"/>
              <w:jc w:val="center"/>
              <w:rPr>
                <w:rFonts w:hint="eastAsia" w:ascii="宋体" w:hAnsi="宋体" w:eastAsia="宋体" w:cs="宋体"/>
                <w:color w:val="auto"/>
                <w:sz w:val="24"/>
                <w:szCs w:val="24"/>
                <w:highlight w:val="none"/>
              </w:rPr>
            </w:pPr>
          </w:p>
        </w:tc>
        <w:tc>
          <w:tcPr>
            <w:tcW w:w="845" w:type="dxa"/>
            <w:noWrap/>
            <w:vAlign w:val="center"/>
          </w:tcPr>
          <w:p w14:paraId="59BD9BAE">
            <w:pPr>
              <w:pStyle w:val="19"/>
              <w:overflowPunct w:val="0"/>
              <w:jc w:val="center"/>
              <w:rPr>
                <w:rFonts w:hint="eastAsia" w:ascii="宋体" w:hAnsi="宋体" w:eastAsia="宋体" w:cs="宋体"/>
                <w:color w:val="auto"/>
                <w:sz w:val="24"/>
                <w:szCs w:val="24"/>
                <w:highlight w:val="none"/>
              </w:rPr>
            </w:pPr>
          </w:p>
        </w:tc>
        <w:tc>
          <w:tcPr>
            <w:tcW w:w="764" w:type="dxa"/>
            <w:noWrap/>
            <w:vAlign w:val="center"/>
          </w:tcPr>
          <w:p w14:paraId="16F9074A">
            <w:pPr>
              <w:pStyle w:val="19"/>
              <w:overflowPunct w:val="0"/>
              <w:jc w:val="center"/>
              <w:rPr>
                <w:rFonts w:hint="eastAsia" w:ascii="宋体" w:hAnsi="宋体" w:eastAsia="宋体" w:cs="宋体"/>
                <w:color w:val="auto"/>
                <w:sz w:val="24"/>
                <w:szCs w:val="24"/>
                <w:highlight w:val="none"/>
              </w:rPr>
            </w:pPr>
          </w:p>
        </w:tc>
        <w:tc>
          <w:tcPr>
            <w:tcW w:w="764" w:type="dxa"/>
            <w:noWrap/>
            <w:vAlign w:val="center"/>
          </w:tcPr>
          <w:p w14:paraId="42823F04">
            <w:pPr>
              <w:pStyle w:val="19"/>
              <w:overflowPunct w:val="0"/>
              <w:jc w:val="center"/>
              <w:rPr>
                <w:rFonts w:hint="eastAsia" w:ascii="宋体" w:hAnsi="宋体" w:eastAsia="宋体" w:cs="宋体"/>
                <w:color w:val="auto"/>
                <w:sz w:val="24"/>
                <w:szCs w:val="24"/>
                <w:highlight w:val="none"/>
              </w:rPr>
            </w:pPr>
          </w:p>
        </w:tc>
        <w:tc>
          <w:tcPr>
            <w:tcW w:w="750" w:type="dxa"/>
            <w:noWrap/>
            <w:vAlign w:val="center"/>
          </w:tcPr>
          <w:p w14:paraId="561F46F2">
            <w:pPr>
              <w:pStyle w:val="19"/>
              <w:overflowPunct w:val="0"/>
              <w:jc w:val="center"/>
              <w:rPr>
                <w:rFonts w:hint="eastAsia" w:ascii="宋体" w:hAnsi="宋体" w:eastAsia="宋体" w:cs="宋体"/>
                <w:color w:val="auto"/>
                <w:sz w:val="24"/>
                <w:szCs w:val="24"/>
                <w:highlight w:val="none"/>
              </w:rPr>
            </w:pPr>
          </w:p>
        </w:tc>
        <w:tc>
          <w:tcPr>
            <w:tcW w:w="886" w:type="dxa"/>
            <w:noWrap/>
            <w:vAlign w:val="center"/>
          </w:tcPr>
          <w:p w14:paraId="75FD1D9F">
            <w:pPr>
              <w:pStyle w:val="19"/>
              <w:overflowPunct w:val="0"/>
              <w:jc w:val="center"/>
              <w:rPr>
                <w:rFonts w:hint="eastAsia" w:ascii="宋体" w:hAnsi="宋体" w:eastAsia="宋体" w:cs="宋体"/>
                <w:color w:val="auto"/>
                <w:sz w:val="24"/>
                <w:szCs w:val="24"/>
                <w:highlight w:val="none"/>
              </w:rPr>
            </w:pPr>
          </w:p>
        </w:tc>
        <w:tc>
          <w:tcPr>
            <w:tcW w:w="1766" w:type="dxa"/>
            <w:noWrap/>
            <w:vAlign w:val="center"/>
          </w:tcPr>
          <w:p w14:paraId="24F9D5AB">
            <w:pPr>
              <w:pStyle w:val="19"/>
              <w:overflowPunct w:val="0"/>
              <w:jc w:val="center"/>
              <w:rPr>
                <w:rFonts w:hint="eastAsia" w:ascii="宋体" w:hAnsi="宋体" w:eastAsia="宋体" w:cs="宋体"/>
                <w:color w:val="auto"/>
                <w:sz w:val="24"/>
                <w:szCs w:val="24"/>
                <w:highlight w:val="none"/>
              </w:rPr>
            </w:pPr>
          </w:p>
        </w:tc>
        <w:tc>
          <w:tcPr>
            <w:tcW w:w="1087" w:type="dxa"/>
            <w:noWrap/>
            <w:vAlign w:val="center"/>
          </w:tcPr>
          <w:p w14:paraId="39AEB3D1">
            <w:pPr>
              <w:pStyle w:val="19"/>
              <w:overflowPunct w:val="0"/>
              <w:jc w:val="center"/>
              <w:rPr>
                <w:rFonts w:hint="eastAsia" w:ascii="宋体" w:hAnsi="宋体" w:eastAsia="宋体" w:cs="宋体"/>
                <w:color w:val="auto"/>
                <w:sz w:val="24"/>
                <w:szCs w:val="24"/>
                <w:highlight w:val="none"/>
              </w:rPr>
            </w:pPr>
          </w:p>
        </w:tc>
      </w:tr>
      <w:tr w14:paraId="2DF164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876" w:type="dxa"/>
            <w:noWrap/>
            <w:vAlign w:val="center"/>
          </w:tcPr>
          <w:p w14:paraId="02F28E53">
            <w:pPr>
              <w:pStyle w:val="19"/>
              <w:overflowPunct w:val="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w:t>
            </w:r>
          </w:p>
        </w:tc>
        <w:tc>
          <w:tcPr>
            <w:tcW w:w="1926" w:type="dxa"/>
            <w:tcBorders>
              <w:bottom w:val="single" w:color="auto" w:sz="4" w:space="0"/>
            </w:tcBorders>
            <w:noWrap/>
            <w:vAlign w:val="center"/>
          </w:tcPr>
          <w:p w14:paraId="1C64FEBF">
            <w:pPr>
              <w:pStyle w:val="19"/>
              <w:overflowPunct w:val="0"/>
              <w:jc w:val="center"/>
              <w:rPr>
                <w:rFonts w:hint="eastAsia" w:ascii="宋体" w:hAnsi="宋体" w:eastAsia="宋体" w:cs="宋体"/>
                <w:color w:val="auto"/>
                <w:sz w:val="24"/>
                <w:szCs w:val="24"/>
                <w:highlight w:val="none"/>
              </w:rPr>
            </w:pPr>
          </w:p>
        </w:tc>
        <w:tc>
          <w:tcPr>
            <w:tcW w:w="845" w:type="dxa"/>
            <w:tcBorders>
              <w:bottom w:val="single" w:color="auto" w:sz="4" w:space="0"/>
            </w:tcBorders>
            <w:noWrap/>
            <w:vAlign w:val="center"/>
          </w:tcPr>
          <w:p w14:paraId="41F0EC9C">
            <w:pPr>
              <w:pStyle w:val="19"/>
              <w:overflowPunct w:val="0"/>
              <w:jc w:val="center"/>
              <w:rPr>
                <w:rFonts w:hint="eastAsia" w:ascii="宋体" w:hAnsi="宋体" w:eastAsia="宋体" w:cs="宋体"/>
                <w:color w:val="auto"/>
                <w:sz w:val="24"/>
                <w:szCs w:val="24"/>
                <w:highlight w:val="none"/>
              </w:rPr>
            </w:pPr>
          </w:p>
        </w:tc>
        <w:tc>
          <w:tcPr>
            <w:tcW w:w="764" w:type="dxa"/>
            <w:tcBorders>
              <w:bottom w:val="single" w:color="auto" w:sz="4" w:space="0"/>
            </w:tcBorders>
            <w:noWrap/>
            <w:vAlign w:val="center"/>
          </w:tcPr>
          <w:p w14:paraId="0F445993">
            <w:pPr>
              <w:pStyle w:val="19"/>
              <w:overflowPunct w:val="0"/>
              <w:jc w:val="center"/>
              <w:rPr>
                <w:rFonts w:hint="eastAsia" w:ascii="宋体" w:hAnsi="宋体" w:eastAsia="宋体" w:cs="宋体"/>
                <w:color w:val="auto"/>
                <w:sz w:val="24"/>
                <w:szCs w:val="24"/>
                <w:highlight w:val="none"/>
              </w:rPr>
            </w:pPr>
          </w:p>
        </w:tc>
        <w:tc>
          <w:tcPr>
            <w:tcW w:w="764" w:type="dxa"/>
            <w:tcBorders>
              <w:bottom w:val="single" w:color="auto" w:sz="4" w:space="0"/>
            </w:tcBorders>
            <w:noWrap/>
            <w:vAlign w:val="center"/>
          </w:tcPr>
          <w:p w14:paraId="64DECB92">
            <w:pPr>
              <w:pStyle w:val="19"/>
              <w:overflowPunct w:val="0"/>
              <w:jc w:val="center"/>
              <w:rPr>
                <w:rFonts w:hint="eastAsia" w:ascii="宋体" w:hAnsi="宋体" w:eastAsia="宋体" w:cs="宋体"/>
                <w:color w:val="auto"/>
                <w:sz w:val="24"/>
                <w:szCs w:val="24"/>
                <w:highlight w:val="none"/>
              </w:rPr>
            </w:pPr>
          </w:p>
        </w:tc>
        <w:tc>
          <w:tcPr>
            <w:tcW w:w="750" w:type="dxa"/>
            <w:tcBorders>
              <w:bottom w:val="single" w:color="auto" w:sz="4" w:space="0"/>
            </w:tcBorders>
            <w:noWrap/>
            <w:vAlign w:val="center"/>
          </w:tcPr>
          <w:p w14:paraId="6E6B5859">
            <w:pPr>
              <w:pStyle w:val="19"/>
              <w:overflowPunct w:val="0"/>
              <w:jc w:val="center"/>
              <w:rPr>
                <w:rFonts w:hint="eastAsia" w:ascii="宋体" w:hAnsi="宋体" w:eastAsia="宋体" w:cs="宋体"/>
                <w:color w:val="auto"/>
                <w:sz w:val="24"/>
                <w:szCs w:val="24"/>
                <w:highlight w:val="none"/>
              </w:rPr>
            </w:pPr>
          </w:p>
        </w:tc>
        <w:tc>
          <w:tcPr>
            <w:tcW w:w="886" w:type="dxa"/>
            <w:tcBorders>
              <w:bottom w:val="single" w:color="auto" w:sz="4" w:space="0"/>
            </w:tcBorders>
            <w:noWrap/>
            <w:vAlign w:val="center"/>
          </w:tcPr>
          <w:p w14:paraId="7375E260">
            <w:pPr>
              <w:pStyle w:val="19"/>
              <w:overflowPunct w:val="0"/>
              <w:jc w:val="center"/>
              <w:rPr>
                <w:rFonts w:hint="eastAsia" w:ascii="宋体" w:hAnsi="宋体" w:eastAsia="宋体" w:cs="宋体"/>
                <w:color w:val="auto"/>
                <w:sz w:val="24"/>
                <w:szCs w:val="24"/>
                <w:highlight w:val="none"/>
              </w:rPr>
            </w:pPr>
          </w:p>
        </w:tc>
        <w:tc>
          <w:tcPr>
            <w:tcW w:w="1766" w:type="dxa"/>
            <w:tcBorders>
              <w:bottom w:val="single" w:color="auto" w:sz="4" w:space="0"/>
            </w:tcBorders>
            <w:noWrap/>
            <w:vAlign w:val="center"/>
          </w:tcPr>
          <w:p w14:paraId="3B2B469B">
            <w:pPr>
              <w:pStyle w:val="19"/>
              <w:overflowPunct w:val="0"/>
              <w:jc w:val="center"/>
              <w:rPr>
                <w:rFonts w:hint="eastAsia" w:ascii="宋体" w:hAnsi="宋体" w:eastAsia="宋体" w:cs="宋体"/>
                <w:color w:val="auto"/>
                <w:sz w:val="24"/>
                <w:szCs w:val="24"/>
                <w:highlight w:val="none"/>
              </w:rPr>
            </w:pPr>
          </w:p>
        </w:tc>
        <w:tc>
          <w:tcPr>
            <w:tcW w:w="1087" w:type="dxa"/>
            <w:tcBorders>
              <w:bottom w:val="single" w:color="auto" w:sz="4" w:space="0"/>
            </w:tcBorders>
            <w:noWrap/>
            <w:vAlign w:val="center"/>
          </w:tcPr>
          <w:p w14:paraId="1D038FFE">
            <w:pPr>
              <w:pStyle w:val="19"/>
              <w:overflowPunct w:val="0"/>
              <w:jc w:val="center"/>
              <w:rPr>
                <w:rFonts w:hint="eastAsia" w:ascii="宋体" w:hAnsi="宋体" w:eastAsia="宋体" w:cs="宋体"/>
                <w:color w:val="auto"/>
                <w:sz w:val="24"/>
                <w:szCs w:val="24"/>
                <w:highlight w:val="none"/>
              </w:rPr>
            </w:pPr>
          </w:p>
        </w:tc>
      </w:tr>
    </w:tbl>
    <w:p w14:paraId="0E1A978A">
      <w:pPr>
        <w:overflowPunct w:val="0"/>
        <w:spacing w:line="460" w:lineRule="exact"/>
        <w:ind w:firstLine="240" w:firstLineChars="1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注：</w:t>
      </w:r>
      <w:r>
        <w:rPr>
          <w:rFonts w:hint="eastAsia" w:ascii="宋体" w:hAnsi="宋体" w:eastAsia="宋体" w:cs="宋体"/>
          <w:bCs/>
          <w:color w:val="auto"/>
          <w:sz w:val="24"/>
          <w:szCs w:val="24"/>
          <w:highlight w:val="none"/>
        </w:rPr>
        <w:t>投标文件中须根据“第五章  评审方法与评审标准”提供相关说明及证明材料</w:t>
      </w:r>
    </w:p>
    <w:p w14:paraId="36168BE7">
      <w:pPr>
        <w:spacing w:line="440" w:lineRule="exact"/>
        <w:rPr>
          <w:rFonts w:hint="eastAsia" w:ascii="宋体" w:hAnsi="宋体" w:eastAsia="宋体" w:cs="宋体"/>
          <w:color w:val="auto"/>
          <w:highlight w:val="none"/>
        </w:rPr>
      </w:pPr>
      <w:r>
        <w:rPr>
          <w:rFonts w:hint="eastAsia" w:ascii="宋体" w:hAnsi="宋体" w:eastAsia="宋体" w:cs="宋体"/>
          <w:color w:val="auto"/>
          <w:highlight w:val="none"/>
        </w:rPr>
        <w:br w:type="page"/>
      </w:r>
      <w:bookmarkEnd w:id="320"/>
      <w:bookmarkEnd w:id="321"/>
      <w:bookmarkEnd w:id="322"/>
      <w:bookmarkEnd w:id="323"/>
    </w:p>
    <w:p w14:paraId="645289DA">
      <w:pPr>
        <w:pStyle w:val="3"/>
        <w:keepNext w:val="0"/>
        <w:pageBreakBefore/>
        <w:rPr>
          <w:rFonts w:hint="eastAsia" w:ascii="宋体" w:hAnsi="宋体" w:eastAsia="宋体" w:cs="宋体"/>
          <w:color w:val="auto"/>
          <w:highlight w:val="none"/>
        </w:rPr>
      </w:pPr>
      <w:bookmarkStart w:id="325" w:name="_Toc32268"/>
      <w:bookmarkStart w:id="326" w:name="_Toc22942"/>
      <w:r>
        <w:rPr>
          <w:rFonts w:hint="eastAsia" w:ascii="宋体" w:hAnsi="宋体" w:eastAsia="宋体" w:cs="宋体"/>
          <w:color w:val="auto"/>
          <w:highlight w:val="none"/>
        </w:rPr>
        <w:t>附件1</w:t>
      </w:r>
      <w:r>
        <w:rPr>
          <w:rFonts w:hint="eastAsia" w:ascii="宋体" w:hAnsi="宋体" w:eastAsia="宋体" w:cs="宋体"/>
          <w:color w:val="auto"/>
          <w:highlight w:val="none"/>
          <w:lang w:val="en-US" w:eastAsia="zh-CN"/>
        </w:rPr>
        <w:t>2</w:t>
      </w:r>
      <w:r>
        <w:rPr>
          <w:rFonts w:hint="eastAsia" w:ascii="宋体" w:hAnsi="宋体" w:eastAsia="宋体" w:cs="宋体"/>
          <w:color w:val="auto"/>
          <w:highlight w:val="none"/>
        </w:rPr>
        <w:t xml:space="preserve"> 业绩一览表</w:t>
      </w:r>
      <w:bookmarkEnd w:id="325"/>
      <w:bookmarkEnd w:id="326"/>
    </w:p>
    <w:tbl>
      <w:tblPr>
        <w:tblStyle w:val="54"/>
        <w:tblW w:w="892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772"/>
        <w:gridCol w:w="1404"/>
        <w:gridCol w:w="1776"/>
        <w:gridCol w:w="1296"/>
        <w:gridCol w:w="2759"/>
        <w:gridCol w:w="920"/>
      </w:tblGrid>
      <w:tr w14:paraId="68EF433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13" w:hRule="atLeast"/>
          <w:jc w:val="center"/>
        </w:trPr>
        <w:tc>
          <w:tcPr>
            <w:tcW w:w="772" w:type="dxa"/>
            <w:vAlign w:val="center"/>
          </w:tcPr>
          <w:p w14:paraId="7C786D90">
            <w:pPr>
              <w:pStyle w:val="177"/>
              <w:jc w:val="center"/>
              <w:rPr>
                <w:rFonts w:hint="eastAsia" w:ascii="宋体" w:hAnsi="宋体" w:eastAsia="宋体" w:cs="宋体"/>
                <w:b/>
                <w:bCs/>
                <w:color w:val="auto"/>
                <w:sz w:val="24"/>
                <w:highlight w:val="none"/>
              </w:rPr>
            </w:pPr>
            <w:bookmarkStart w:id="327" w:name="_Toc75437942"/>
            <w:r>
              <w:rPr>
                <w:rFonts w:hint="eastAsia" w:ascii="宋体" w:hAnsi="宋体" w:eastAsia="宋体" w:cs="宋体"/>
                <w:b/>
                <w:bCs/>
                <w:color w:val="auto"/>
                <w:sz w:val="24"/>
                <w:highlight w:val="none"/>
              </w:rPr>
              <w:t>序号</w:t>
            </w:r>
          </w:p>
        </w:tc>
        <w:tc>
          <w:tcPr>
            <w:tcW w:w="1404" w:type="dxa"/>
            <w:vAlign w:val="center"/>
          </w:tcPr>
          <w:p w14:paraId="07F509F6">
            <w:pPr>
              <w:pStyle w:val="177"/>
              <w:jc w:val="center"/>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项目名称</w:t>
            </w:r>
          </w:p>
        </w:tc>
        <w:tc>
          <w:tcPr>
            <w:tcW w:w="1776" w:type="dxa"/>
            <w:vAlign w:val="center"/>
          </w:tcPr>
          <w:p w14:paraId="42167407">
            <w:pPr>
              <w:pStyle w:val="177"/>
              <w:jc w:val="center"/>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主要服务内容</w:t>
            </w:r>
          </w:p>
        </w:tc>
        <w:tc>
          <w:tcPr>
            <w:tcW w:w="1296" w:type="dxa"/>
            <w:vAlign w:val="center"/>
          </w:tcPr>
          <w:p w14:paraId="40C3A099">
            <w:pPr>
              <w:pStyle w:val="177"/>
              <w:jc w:val="center"/>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实施时间</w:t>
            </w:r>
          </w:p>
        </w:tc>
        <w:tc>
          <w:tcPr>
            <w:tcW w:w="2759" w:type="dxa"/>
            <w:vAlign w:val="center"/>
          </w:tcPr>
          <w:p w14:paraId="49F73158">
            <w:pPr>
              <w:pStyle w:val="177"/>
              <w:jc w:val="center"/>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甲方联系人及联系电话</w:t>
            </w:r>
          </w:p>
        </w:tc>
        <w:tc>
          <w:tcPr>
            <w:tcW w:w="920" w:type="dxa"/>
            <w:vAlign w:val="center"/>
          </w:tcPr>
          <w:p w14:paraId="1203454C">
            <w:pPr>
              <w:pStyle w:val="177"/>
              <w:jc w:val="center"/>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备注</w:t>
            </w:r>
          </w:p>
        </w:tc>
      </w:tr>
      <w:tr w14:paraId="27443F0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772" w:type="dxa"/>
            <w:vAlign w:val="center"/>
          </w:tcPr>
          <w:p w14:paraId="1F43C3BA">
            <w:pPr>
              <w:pStyle w:val="177"/>
              <w:spacing w:line="500" w:lineRule="exact"/>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1</w:t>
            </w:r>
          </w:p>
        </w:tc>
        <w:tc>
          <w:tcPr>
            <w:tcW w:w="1404" w:type="dxa"/>
            <w:vAlign w:val="center"/>
          </w:tcPr>
          <w:p w14:paraId="660CBC3A">
            <w:pPr>
              <w:pStyle w:val="177"/>
              <w:spacing w:line="500" w:lineRule="exact"/>
              <w:jc w:val="center"/>
              <w:rPr>
                <w:rFonts w:hint="eastAsia" w:ascii="宋体" w:hAnsi="宋体" w:eastAsia="宋体" w:cs="宋体"/>
                <w:color w:val="auto"/>
                <w:sz w:val="24"/>
                <w:highlight w:val="none"/>
              </w:rPr>
            </w:pPr>
          </w:p>
        </w:tc>
        <w:tc>
          <w:tcPr>
            <w:tcW w:w="1776" w:type="dxa"/>
            <w:vAlign w:val="center"/>
          </w:tcPr>
          <w:p w14:paraId="4F260352">
            <w:pPr>
              <w:pStyle w:val="177"/>
              <w:spacing w:line="500" w:lineRule="exact"/>
              <w:jc w:val="center"/>
              <w:rPr>
                <w:rFonts w:hint="eastAsia" w:ascii="宋体" w:hAnsi="宋体" w:eastAsia="宋体" w:cs="宋体"/>
                <w:color w:val="auto"/>
                <w:sz w:val="24"/>
                <w:highlight w:val="none"/>
              </w:rPr>
            </w:pPr>
          </w:p>
        </w:tc>
        <w:tc>
          <w:tcPr>
            <w:tcW w:w="1296" w:type="dxa"/>
            <w:vAlign w:val="center"/>
          </w:tcPr>
          <w:p w14:paraId="3606037F">
            <w:pPr>
              <w:pStyle w:val="177"/>
              <w:spacing w:line="500" w:lineRule="exact"/>
              <w:jc w:val="center"/>
              <w:rPr>
                <w:rFonts w:hint="eastAsia" w:ascii="宋体" w:hAnsi="宋体" w:eastAsia="宋体" w:cs="宋体"/>
                <w:color w:val="auto"/>
                <w:sz w:val="24"/>
                <w:highlight w:val="none"/>
              </w:rPr>
            </w:pPr>
          </w:p>
        </w:tc>
        <w:tc>
          <w:tcPr>
            <w:tcW w:w="2759" w:type="dxa"/>
            <w:vAlign w:val="center"/>
          </w:tcPr>
          <w:p w14:paraId="3DA5E1BB">
            <w:pPr>
              <w:pStyle w:val="177"/>
              <w:spacing w:line="500" w:lineRule="exact"/>
              <w:jc w:val="center"/>
              <w:rPr>
                <w:rFonts w:hint="eastAsia" w:ascii="宋体" w:hAnsi="宋体" w:eastAsia="宋体" w:cs="宋体"/>
                <w:color w:val="auto"/>
                <w:sz w:val="24"/>
                <w:highlight w:val="none"/>
              </w:rPr>
            </w:pPr>
          </w:p>
        </w:tc>
        <w:tc>
          <w:tcPr>
            <w:tcW w:w="920" w:type="dxa"/>
            <w:vAlign w:val="center"/>
          </w:tcPr>
          <w:p w14:paraId="51DF1C46">
            <w:pPr>
              <w:pStyle w:val="177"/>
              <w:spacing w:line="500" w:lineRule="exact"/>
              <w:jc w:val="center"/>
              <w:rPr>
                <w:rFonts w:hint="eastAsia" w:ascii="宋体" w:hAnsi="宋体" w:eastAsia="宋体" w:cs="宋体"/>
                <w:color w:val="auto"/>
                <w:sz w:val="24"/>
                <w:highlight w:val="none"/>
              </w:rPr>
            </w:pPr>
          </w:p>
        </w:tc>
      </w:tr>
      <w:tr w14:paraId="6BF62AE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772" w:type="dxa"/>
            <w:vAlign w:val="center"/>
          </w:tcPr>
          <w:p w14:paraId="17FA4AA1">
            <w:pPr>
              <w:pStyle w:val="177"/>
              <w:spacing w:line="500" w:lineRule="exact"/>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2</w:t>
            </w:r>
          </w:p>
        </w:tc>
        <w:tc>
          <w:tcPr>
            <w:tcW w:w="1404" w:type="dxa"/>
            <w:vAlign w:val="center"/>
          </w:tcPr>
          <w:p w14:paraId="14EDA94F">
            <w:pPr>
              <w:pStyle w:val="177"/>
              <w:spacing w:line="500" w:lineRule="exact"/>
              <w:jc w:val="center"/>
              <w:rPr>
                <w:rFonts w:hint="eastAsia" w:ascii="宋体" w:hAnsi="宋体" w:eastAsia="宋体" w:cs="宋体"/>
                <w:color w:val="auto"/>
                <w:sz w:val="24"/>
                <w:highlight w:val="none"/>
              </w:rPr>
            </w:pPr>
          </w:p>
        </w:tc>
        <w:tc>
          <w:tcPr>
            <w:tcW w:w="1776" w:type="dxa"/>
            <w:vAlign w:val="center"/>
          </w:tcPr>
          <w:p w14:paraId="7BAAC69A">
            <w:pPr>
              <w:pStyle w:val="177"/>
              <w:spacing w:line="500" w:lineRule="exact"/>
              <w:jc w:val="center"/>
              <w:rPr>
                <w:rFonts w:hint="eastAsia" w:ascii="宋体" w:hAnsi="宋体" w:eastAsia="宋体" w:cs="宋体"/>
                <w:color w:val="auto"/>
                <w:sz w:val="24"/>
                <w:highlight w:val="none"/>
              </w:rPr>
            </w:pPr>
          </w:p>
        </w:tc>
        <w:tc>
          <w:tcPr>
            <w:tcW w:w="1296" w:type="dxa"/>
            <w:vAlign w:val="center"/>
          </w:tcPr>
          <w:p w14:paraId="08315734">
            <w:pPr>
              <w:pStyle w:val="177"/>
              <w:spacing w:line="500" w:lineRule="exact"/>
              <w:jc w:val="center"/>
              <w:rPr>
                <w:rFonts w:hint="eastAsia" w:ascii="宋体" w:hAnsi="宋体" w:eastAsia="宋体" w:cs="宋体"/>
                <w:color w:val="auto"/>
                <w:sz w:val="24"/>
                <w:highlight w:val="none"/>
              </w:rPr>
            </w:pPr>
          </w:p>
        </w:tc>
        <w:tc>
          <w:tcPr>
            <w:tcW w:w="2759" w:type="dxa"/>
            <w:vAlign w:val="center"/>
          </w:tcPr>
          <w:p w14:paraId="2B2CE314">
            <w:pPr>
              <w:pStyle w:val="177"/>
              <w:spacing w:line="500" w:lineRule="exact"/>
              <w:jc w:val="center"/>
              <w:rPr>
                <w:rFonts w:hint="eastAsia" w:ascii="宋体" w:hAnsi="宋体" w:eastAsia="宋体" w:cs="宋体"/>
                <w:color w:val="auto"/>
                <w:sz w:val="24"/>
                <w:highlight w:val="none"/>
              </w:rPr>
            </w:pPr>
          </w:p>
        </w:tc>
        <w:tc>
          <w:tcPr>
            <w:tcW w:w="920" w:type="dxa"/>
            <w:vAlign w:val="center"/>
          </w:tcPr>
          <w:p w14:paraId="48C9FD38">
            <w:pPr>
              <w:pStyle w:val="177"/>
              <w:spacing w:line="500" w:lineRule="exact"/>
              <w:jc w:val="center"/>
              <w:rPr>
                <w:rFonts w:hint="eastAsia" w:ascii="宋体" w:hAnsi="宋体" w:eastAsia="宋体" w:cs="宋体"/>
                <w:color w:val="auto"/>
                <w:sz w:val="24"/>
                <w:highlight w:val="none"/>
              </w:rPr>
            </w:pPr>
          </w:p>
        </w:tc>
      </w:tr>
      <w:tr w14:paraId="43DA4B7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772" w:type="dxa"/>
            <w:vAlign w:val="center"/>
          </w:tcPr>
          <w:p w14:paraId="0134E5FD">
            <w:pPr>
              <w:pStyle w:val="177"/>
              <w:spacing w:line="500" w:lineRule="exact"/>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3</w:t>
            </w:r>
          </w:p>
        </w:tc>
        <w:tc>
          <w:tcPr>
            <w:tcW w:w="1404" w:type="dxa"/>
            <w:vAlign w:val="center"/>
          </w:tcPr>
          <w:p w14:paraId="45CCEFFD">
            <w:pPr>
              <w:pStyle w:val="177"/>
              <w:spacing w:line="500" w:lineRule="exact"/>
              <w:jc w:val="center"/>
              <w:rPr>
                <w:rFonts w:hint="eastAsia" w:ascii="宋体" w:hAnsi="宋体" w:eastAsia="宋体" w:cs="宋体"/>
                <w:color w:val="auto"/>
                <w:sz w:val="24"/>
                <w:highlight w:val="none"/>
              </w:rPr>
            </w:pPr>
          </w:p>
        </w:tc>
        <w:tc>
          <w:tcPr>
            <w:tcW w:w="1776" w:type="dxa"/>
            <w:vAlign w:val="center"/>
          </w:tcPr>
          <w:p w14:paraId="7F859326">
            <w:pPr>
              <w:pStyle w:val="177"/>
              <w:spacing w:line="500" w:lineRule="exact"/>
              <w:jc w:val="center"/>
              <w:rPr>
                <w:rFonts w:hint="eastAsia" w:ascii="宋体" w:hAnsi="宋体" w:eastAsia="宋体" w:cs="宋体"/>
                <w:color w:val="auto"/>
                <w:sz w:val="24"/>
                <w:highlight w:val="none"/>
              </w:rPr>
            </w:pPr>
          </w:p>
        </w:tc>
        <w:tc>
          <w:tcPr>
            <w:tcW w:w="1296" w:type="dxa"/>
            <w:vAlign w:val="center"/>
          </w:tcPr>
          <w:p w14:paraId="457DB656">
            <w:pPr>
              <w:pStyle w:val="177"/>
              <w:spacing w:line="500" w:lineRule="exact"/>
              <w:jc w:val="center"/>
              <w:rPr>
                <w:rFonts w:hint="eastAsia" w:ascii="宋体" w:hAnsi="宋体" w:eastAsia="宋体" w:cs="宋体"/>
                <w:color w:val="auto"/>
                <w:sz w:val="24"/>
                <w:highlight w:val="none"/>
              </w:rPr>
            </w:pPr>
          </w:p>
        </w:tc>
        <w:tc>
          <w:tcPr>
            <w:tcW w:w="2759" w:type="dxa"/>
            <w:vAlign w:val="center"/>
          </w:tcPr>
          <w:p w14:paraId="0BD3BD51">
            <w:pPr>
              <w:pStyle w:val="177"/>
              <w:spacing w:line="500" w:lineRule="exact"/>
              <w:jc w:val="center"/>
              <w:rPr>
                <w:rFonts w:hint="eastAsia" w:ascii="宋体" w:hAnsi="宋体" w:eastAsia="宋体" w:cs="宋体"/>
                <w:color w:val="auto"/>
                <w:sz w:val="24"/>
                <w:highlight w:val="none"/>
              </w:rPr>
            </w:pPr>
          </w:p>
        </w:tc>
        <w:tc>
          <w:tcPr>
            <w:tcW w:w="920" w:type="dxa"/>
            <w:vAlign w:val="center"/>
          </w:tcPr>
          <w:p w14:paraId="55BD700C">
            <w:pPr>
              <w:pStyle w:val="177"/>
              <w:spacing w:line="500" w:lineRule="exact"/>
              <w:jc w:val="center"/>
              <w:rPr>
                <w:rFonts w:hint="eastAsia" w:ascii="宋体" w:hAnsi="宋体" w:eastAsia="宋体" w:cs="宋体"/>
                <w:color w:val="auto"/>
                <w:sz w:val="24"/>
                <w:highlight w:val="none"/>
              </w:rPr>
            </w:pPr>
          </w:p>
        </w:tc>
      </w:tr>
      <w:tr w14:paraId="046309F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772" w:type="dxa"/>
            <w:vAlign w:val="center"/>
          </w:tcPr>
          <w:p w14:paraId="393D296D">
            <w:pPr>
              <w:pStyle w:val="177"/>
              <w:spacing w:line="500" w:lineRule="exact"/>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4</w:t>
            </w:r>
          </w:p>
        </w:tc>
        <w:tc>
          <w:tcPr>
            <w:tcW w:w="1404" w:type="dxa"/>
            <w:vAlign w:val="center"/>
          </w:tcPr>
          <w:p w14:paraId="28A94FA7">
            <w:pPr>
              <w:pStyle w:val="177"/>
              <w:spacing w:line="500" w:lineRule="exact"/>
              <w:jc w:val="center"/>
              <w:rPr>
                <w:rFonts w:hint="eastAsia" w:ascii="宋体" w:hAnsi="宋体" w:eastAsia="宋体" w:cs="宋体"/>
                <w:color w:val="auto"/>
                <w:sz w:val="24"/>
                <w:highlight w:val="none"/>
              </w:rPr>
            </w:pPr>
          </w:p>
        </w:tc>
        <w:tc>
          <w:tcPr>
            <w:tcW w:w="1776" w:type="dxa"/>
            <w:vAlign w:val="center"/>
          </w:tcPr>
          <w:p w14:paraId="3A4FC016">
            <w:pPr>
              <w:pStyle w:val="177"/>
              <w:spacing w:line="500" w:lineRule="exact"/>
              <w:jc w:val="center"/>
              <w:rPr>
                <w:rFonts w:hint="eastAsia" w:ascii="宋体" w:hAnsi="宋体" w:eastAsia="宋体" w:cs="宋体"/>
                <w:color w:val="auto"/>
                <w:sz w:val="24"/>
                <w:highlight w:val="none"/>
              </w:rPr>
            </w:pPr>
          </w:p>
        </w:tc>
        <w:tc>
          <w:tcPr>
            <w:tcW w:w="1296" w:type="dxa"/>
            <w:vAlign w:val="center"/>
          </w:tcPr>
          <w:p w14:paraId="0481A695">
            <w:pPr>
              <w:pStyle w:val="177"/>
              <w:spacing w:line="500" w:lineRule="exact"/>
              <w:jc w:val="center"/>
              <w:rPr>
                <w:rFonts w:hint="eastAsia" w:ascii="宋体" w:hAnsi="宋体" w:eastAsia="宋体" w:cs="宋体"/>
                <w:color w:val="auto"/>
                <w:sz w:val="24"/>
                <w:highlight w:val="none"/>
              </w:rPr>
            </w:pPr>
          </w:p>
        </w:tc>
        <w:tc>
          <w:tcPr>
            <w:tcW w:w="2759" w:type="dxa"/>
            <w:vAlign w:val="center"/>
          </w:tcPr>
          <w:p w14:paraId="7B921150">
            <w:pPr>
              <w:pStyle w:val="177"/>
              <w:spacing w:line="500" w:lineRule="exact"/>
              <w:jc w:val="center"/>
              <w:rPr>
                <w:rFonts w:hint="eastAsia" w:ascii="宋体" w:hAnsi="宋体" w:eastAsia="宋体" w:cs="宋体"/>
                <w:color w:val="auto"/>
                <w:sz w:val="24"/>
                <w:highlight w:val="none"/>
              </w:rPr>
            </w:pPr>
          </w:p>
        </w:tc>
        <w:tc>
          <w:tcPr>
            <w:tcW w:w="920" w:type="dxa"/>
            <w:vAlign w:val="center"/>
          </w:tcPr>
          <w:p w14:paraId="3B813022">
            <w:pPr>
              <w:pStyle w:val="177"/>
              <w:spacing w:line="500" w:lineRule="exact"/>
              <w:jc w:val="center"/>
              <w:rPr>
                <w:rFonts w:hint="eastAsia" w:ascii="宋体" w:hAnsi="宋体" w:eastAsia="宋体" w:cs="宋体"/>
                <w:color w:val="auto"/>
                <w:sz w:val="24"/>
                <w:highlight w:val="none"/>
              </w:rPr>
            </w:pPr>
          </w:p>
        </w:tc>
      </w:tr>
      <w:tr w14:paraId="0A563DA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772" w:type="dxa"/>
            <w:vAlign w:val="center"/>
          </w:tcPr>
          <w:p w14:paraId="5DAD9A9B">
            <w:pPr>
              <w:pStyle w:val="177"/>
              <w:spacing w:line="500" w:lineRule="exact"/>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w:t>
            </w:r>
          </w:p>
        </w:tc>
        <w:tc>
          <w:tcPr>
            <w:tcW w:w="1404" w:type="dxa"/>
            <w:vAlign w:val="center"/>
          </w:tcPr>
          <w:p w14:paraId="004E63CE">
            <w:pPr>
              <w:pStyle w:val="177"/>
              <w:spacing w:line="500" w:lineRule="exact"/>
              <w:jc w:val="center"/>
              <w:rPr>
                <w:rFonts w:hint="eastAsia" w:ascii="宋体" w:hAnsi="宋体" w:eastAsia="宋体" w:cs="宋体"/>
                <w:color w:val="auto"/>
                <w:sz w:val="24"/>
                <w:highlight w:val="none"/>
              </w:rPr>
            </w:pPr>
          </w:p>
        </w:tc>
        <w:tc>
          <w:tcPr>
            <w:tcW w:w="1776" w:type="dxa"/>
            <w:vAlign w:val="center"/>
          </w:tcPr>
          <w:p w14:paraId="6226D1D3">
            <w:pPr>
              <w:pStyle w:val="177"/>
              <w:spacing w:line="500" w:lineRule="exact"/>
              <w:jc w:val="center"/>
              <w:rPr>
                <w:rFonts w:hint="eastAsia" w:ascii="宋体" w:hAnsi="宋体" w:eastAsia="宋体" w:cs="宋体"/>
                <w:color w:val="auto"/>
                <w:sz w:val="24"/>
                <w:highlight w:val="none"/>
              </w:rPr>
            </w:pPr>
          </w:p>
        </w:tc>
        <w:tc>
          <w:tcPr>
            <w:tcW w:w="1296" w:type="dxa"/>
            <w:vAlign w:val="center"/>
          </w:tcPr>
          <w:p w14:paraId="0F661D44">
            <w:pPr>
              <w:pStyle w:val="177"/>
              <w:spacing w:line="500" w:lineRule="exact"/>
              <w:jc w:val="center"/>
              <w:rPr>
                <w:rFonts w:hint="eastAsia" w:ascii="宋体" w:hAnsi="宋体" w:eastAsia="宋体" w:cs="宋体"/>
                <w:color w:val="auto"/>
                <w:sz w:val="24"/>
                <w:highlight w:val="none"/>
              </w:rPr>
            </w:pPr>
          </w:p>
        </w:tc>
        <w:tc>
          <w:tcPr>
            <w:tcW w:w="2759" w:type="dxa"/>
            <w:vAlign w:val="center"/>
          </w:tcPr>
          <w:p w14:paraId="477252C7">
            <w:pPr>
              <w:pStyle w:val="177"/>
              <w:spacing w:line="500" w:lineRule="exact"/>
              <w:jc w:val="center"/>
              <w:rPr>
                <w:rFonts w:hint="eastAsia" w:ascii="宋体" w:hAnsi="宋体" w:eastAsia="宋体" w:cs="宋体"/>
                <w:color w:val="auto"/>
                <w:sz w:val="24"/>
                <w:highlight w:val="none"/>
              </w:rPr>
            </w:pPr>
          </w:p>
        </w:tc>
        <w:tc>
          <w:tcPr>
            <w:tcW w:w="920" w:type="dxa"/>
            <w:vAlign w:val="center"/>
          </w:tcPr>
          <w:p w14:paraId="7B5C333E">
            <w:pPr>
              <w:pStyle w:val="177"/>
              <w:spacing w:line="500" w:lineRule="exact"/>
              <w:jc w:val="center"/>
              <w:rPr>
                <w:rFonts w:hint="eastAsia" w:ascii="宋体" w:hAnsi="宋体" w:eastAsia="宋体" w:cs="宋体"/>
                <w:color w:val="auto"/>
                <w:sz w:val="24"/>
                <w:highlight w:val="none"/>
              </w:rPr>
            </w:pPr>
          </w:p>
        </w:tc>
      </w:tr>
    </w:tbl>
    <w:p w14:paraId="350D97DB">
      <w:pPr>
        <w:spacing w:line="440" w:lineRule="exact"/>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注：</w:t>
      </w:r>
      <w:r>
        <w:rPr>
          <w:rFonts w:hint="eastAsia" w:ascii="宋体" w:hAnsi="宋体" w:eastAsia="宋体" w:cs="宋体"/>
          <w:bCs/>
          <w:color w:val="auto"/>
          <w:sz w:val="24"/>
          <w:szCs w:val="24"/>
          <w:highlight w:val="none"/>
        </w:rPr>
        <w:t>1、上述业绩应为投标人根据“第五章  评审方法与评审标准”提供相关说明及证明材料（如果有的话）。</w:t>
      </w:r>
    </w:p>
    <w:p w14:paraId="17DD66DE">
      <w:pPr>
        <w:spacing w:line="440" w:lineRule="exact"/>
        <w:ind w:firstLine="600" w:firstLineChars="25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2、如有需要说明的事项，请在备注中列明。</w:t>
      </w:r>
    </w:p>
    <w:p w14:paraId="18E67B08">
      <w:pPr>
        <w:spacing w:line="440" w:lineRule="exact"/>
        <w:ind w:firstLine="600" w:firstLineChars="25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3、我方在此声明，我方所提供的以上资料均真实和准确；我方保证上述信息的真实和准确，并愿意承担因我方就此弄虚作假所引起的一切法律后果。</w:t>
      </w:r>
    </w:p>
    <w:p w14:paraId="766BC988">
      <w:pPr>
        <w:spacing w:line="440" w:lineRule="exact"/>
        <w:ind w:firstLine="600" w:firstLineChars="250"/>
        <w:rPr>
          <w:rFonts w:hint="eastAsia" w:ascii="宋体" w:hAnsi="宋体" w:eastAsia="宋体" w:cs="宋体"/>
          <w:bCs/>
          <w:color w:val="auto"/>
          <w:sz w:val="24"/>
          <w:highlight w:val="none"/>
        </w:rPr>
      </w:pPr>
    </w:p>
    <w:p w14:paraId="20F36252">
      <w:pPr>
        <w:spacing w:line="440" w:lineRule="exact"/>
        <w:rPr>
          <w:rFonts w:hint="eastAsia" w:ascii="宋体" w:hAnsi="宋体" w:eastAsia="宋体" w:cs="宋体"/>
          <w:color w:val="auto"/>
          <w:highlight w:val="none"/>
        </w:rPr>
      </w:pPr>
      <w:r>
        <w:rPr>
          <w:rFonts w:hint="eastAsia" w:ascii="宋体" w:hAnsi="宋体" w:eastAsia="宋体" w:cs="宋体"/>
          <w:color w:val="auto"/>
          <w:highlight w:val="none"/>
        </w:rPr>
        <w:br w:type="page"/>
      </w:r>
    </w:p>
    <w:bookmarkEnd w:id="327"/>
    <w:p w14:paraId="4E2778B0">
      <w:pPr>
        <w:pStyle w:val="3"/>
        <w:keepNext w:val="0"/>
        <w:pageBreakBefore/>
        <w:rPr>
          <w:rFonts w:hint="eastAsia" w:ascii="宋体" w:hAnsi="宋体" w:eastAsia="宋体" w:cs="宋体"/>
          <w:color w:val="auto"/>
          <w:highlight w:val="none"/>
        </w:rPr>
      </w:pPr>
      <w:bookmarkStart w:id="328" w:name="_Toc11364"/>
      <w:bookmarkStart w:id="329" w:name="_Toc69302323"/>
      <w:bookmarkStart w:id="330" w:name="_Toc14574"/>
      <w:r>
        <w:rPr>
          <w:rFonts w:hint="eastAsia" w:ascii="宋体" w:hAnsi="宋体" w:eastAsia="宋体" w:cs="宋体"/>
          <w:color w:val="auto"/>
          <w:highlight w:val="none"/>
        </w:rPr>
        <w:t>附件1</w:t>
      </w:r>
      <w:r>
        <w:rPr>
          <w:rFonts w:hint="eastAsia" w:ascii="宋体" w:hAnsi="宋体" w:eastAsia="宋体" w:cs="宋体"/>
          <w:color w:val="auto"/>
          <w:highlight w:val="none"/>
          <w:lang w:val="en-US" w:eastAsia="zh-CN"/>
        </w:rPr>
        <w:t>3</w:t>
      </w:r>
      <w:r>
        <w:rPr>
          <w:rFonts w:hint="eastAsia" w:ascii="宋体" w:hAnsi="宋体" w:eastAsia="宋体" w:cs="宋体"/>
          <w:color w:val="auto"/>
          <w:highlight w:val="none"/>
        </w:rPr>
        <w:t xml:space="preserve"> 商务条件响应及偏离表</w:t>
      </w:r>
      <w:bookmarkEnd w:id="328"/>
      <w:bookmarkEnd w:id="329"/>
      <w:bookmarkEnd w:id="330"/>
    </w:p>
    <w:tbl>
      <w:tblPr>
        <w:tblStyle w:val="54"/>
        <w:tblW w:w="9539" w:type="dxa"/>
        <w:tblInd w:w="3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030"/>
        <w:gridCol w:w="1412"/>
        <w:gridCol w:w="4097"/>
      </w:tblGrid>
      <w:tr w14:paraId="251EA3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4" w:hRule="atLeast"/>
        </w:trPr>
        <w:tc>
          <w:tcPr>
            <w:tcW w:w="4030" w:type="dxa"/>
            <w:vAlign w:val="center"/>
          </w:tcPr>
          <w:p w14:paraId="7D3E30E0">
            <w:pPr>
              <w:spacing w:line="32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合同条款号</w:t>
            </w:r>
          </w:p>
        </w:tc>
        <w:tc>
          <w:tcPr>
            <w:tcW w:w="1412" w:type="dxa"/>
            <w:vAlign w:val="center"/>
          </w:tcPr>
          <w:p w14:paraId="64041F40">
            <w:pPr>
              <w:spacing w:line="32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有无偏离</w:t>
            </w:r>
          </w:p>
        </w:tc>
        <w:tc>
          <w:tcPr>
            <w:tcW w:w="4097" w:type="dxa"/>
            <w:vAlign w:val="center"/>
          </w:tcPr>
          <w:p w14:paraId="4523CCC3">
            <w:pPr>
              <w:spacing w:line="32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偏离内容及原因</w:t>
            </w:r>
          </w:p>
        </w:tc>
      </w:tr>
      <w:tr w14:paraId="7A127E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4" w:hRule="atLeast"/>
        </w:trPr>
        <w:tc>
          <w:tcPr>
            <w:tcW w:w="4030" w:type="dxa"/>
            <w:vAlign w:val="center"/>
          </w:tcPr>
          <w:p w14:paraId="465F7F7A">
            <w:pP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 合同组成部分</w:t>
            </w:r>
          </w:p>
        </w:tc>
        <w:tc>
          <w:tcPr>
            <w:tcW w:w="1412" w:type="dxa"/>
            <w:vAlign w:val="center"/>
          </w:tcPr>
          <w:p w14:paraId="33CC70A7">
            <w:pPr>
              <w:spacing w:line="320" w:lineRule="exact"/>
              <w:rPr>
                <w:rFonts w:hint="eastAsia" w:ascii="宋体" w:hAnsi="宋体" w:eastAsia="宋体" w:cs="宋体"/>
                <w:color w:val="auto"/>
                <w:sz w:val="24"/>
                <w:szCs w:val="24"/>
                <w:highlight w:val="none"/>
              </w:rPr>
            </w:pPr>
          </w:p>
        </w:tc>
        <w:tc>
          <w:tcPr>
            <w:tcW w:w="4097" w:type="dxa"/>
            <w:vAlign w:val="center"/>
          </w:tcPr>
          <w:p w14:paraId="49386106">
            <w:pPr>
              <w:spacing w:line="320" w:lineRule="exact"/>
              <w:rPr>
                <w:rFonts w:hint="eastAsia" w:ascii="宋体" w:hAnsi="宋体" w:eastAsia="宋体" w:cs="宋体"/>
                <w:color w:val="auto"/>
                <w:sz w:val="24"/>
                <w:szCs w:val="24"/>
                <w:highlight w:val="none"/>
              </w:rPr>
            </w:pPr>
          </w:p>
        </w:tc>
      </w:tr>
      <w:tr w14:paraId="67B8C6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4" w:hRule="atLeast"/>
        </w:trPr>
        <w:tc>
          <w:tcPr>
            <w:tcW w:w="4030" w:type="dxa"/>
            <w:vAlign w:val="center"/>
          </w:tcPr>
          <w:p w14:paraId="58D62C1A">
            <w:pP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1.2 标的</w:t>
            </w:r>
          </w:p>
        </w:tc>
        <w:tc>
          <w:tcPr>
            <w:tcW w:w="1412" w:type="dxa"/>
            <w:vAlign w:val="center"/>
          </w:tcPr>
          <w:p w14:paraId="5FCC75D7">
            <w:pPr>
              <w:spacing w:line="320" w:lineRule="exact"/>
              <w:rPr>
                <w:rFonts w:hint="eastAsia" w:ascii="宋体" w:hAnsi="宋体" w:eastAsia="宋体" w:cs="宋体"/>
                <w:color w:val="auto"/>
                <w:sz w:val="24"/>
                <w:szCs w:val="24"/>
                <w:highlight w:val="none"/>
              </w:rPr>
            </w:pPr>
          </w:p>
        </w:tc>
        <w:tc>
          <w:tcPr>
            <w:tcW w:w="4097" w:type="dxa"/>
            <w:vAlign w:val="center"/>
          </w:tcPr>
          <w:p w14:paraId="0AA7DF5F">
            <w:pPr>
              <w:spacing w:line="320" w:lineRule="exact"/>
              <w:rPr>
                <w:rFonts w:hint="eastAsia" w:ascii="宋体" w:hAnsi="宋体" w:eastAsia="宋体" w:cs="宋体"/>
                <w:color w:val="auto"/>
                <w:sz w:val="24"/>
                <w:szCs w:val="24"/>
                <w:highlight w:val="none"/>
              </w:rPr>
            </w:pPr>
          </w:p>
        </w:tc>
      </w:tr>
      <w:tr w14:paraId="6D08E5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4" w:hRule="atLeast"/>
        </w:trPr>
        <w:tc>
          <w:tcPr>
            <w:tcW w:w="4030" w:type="dxa"/>
            <w:vAlign w:val="center"/>
          </w:tcPr>
          <w:p w14:paraId="591E658A">
            <w:pP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1.4 付款方式、开票方式</w:t>
            </w:r>
          </w:p>
        </w:tc>
        <w:tc>
          <w:tcPr>
            <w:tcW w:w="1412" w:type="dxa"/>
            <w:vAlign w:val="center"/>
          </w:tcPr>
          <w:p w14:paraId="52CC39E2">
            <w:pPr>
              <w:spacing w:line="320" w:lineRule="exact"/>
              <w:rPr>
                <w:rFonts w:hint="eastAsia" w:ascii="宋体" w:hAnsi="宋体" w:eastAsia="宋体" w:cs="宋体"/>
                <w:color w:val="auto"/>
                <w:sz w:val="24"/>
                <w:szCs w:val="24"/>
                <w:highlight w:val="none"/>
              </w:rPr>
            </w:pPr>
          </w:p>
        </w:tc>
        <w:tc>
          <w:tcPr>
            <w:tcW w:w="4097" w:type="dxa"/>
            <w:vAlign w:val="center"/>
          </w:tcPr>
          <w:p w14:paraId="0C12FB74">
            <w:pPr>
              <w:spacing w:line="320" w:lineRule="exact"/>
              <w:rPr>
                <w:rFonts w:hint="eastAsia" w:ascii="宋体" w:hAnsi="宋体" w:eastAsia="宋体" w:cs="宋体"/>
                <w:color w:val="auto"/>
                <w:sz w:val="24"/>
                <w:szCs w:val="24"/>
                <w:highlight w:val="none"/>
              </w:rPr>
            </w:pPr>
          </w:p>
        </w:tc>
      </w:tr>
      <w:tr w14:paraId="757208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4" w:hRule="atLeast"/>
        </w:trPr>
        <w:tc>
          <w:tcPr>
            <w:tcW w:w="4030" w:type="dxa"/>
            <w:vAlign w:val="center"/>
          </w:tcPr>
          <w:p w14:paraId="0EC2B532">
            <w:pP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1.5 服务期限和地点</w:t>
            </w:r>
          </w:p>
        </w:tc>
        <w:tc>
          <w:tcPr>
            <w:tcW w:w="1412" w:type="dxa"/>
            <w:vAlign w:val="center"/>
          </w:tcPr>
          <w:p w14:paraId="2A9C7EF3">
            <w:pPr>
              <w:spacing w:line="320" w:lineRule="exact"/>
              <w:rPr>
                <w:rFonts w:hint="eastAsia" w:ascii="宋体" w:hAnsi="宋体" w:eastAsia="宋体" w:cs="宋体"/>
                <w:color w:val="auto"/>
                <w:sz w:val="24"/>
                <w:szCs w:val="24"/>
                <w:highlight w:val="none"/>
              </w:rPr>
            </w:pPr>
          </w:p>
        </w:tc>
        <w:tc>
          <w:tcPr>
            <w:tcW w:w="4097" w:type="dxa"/>
            <w:vAlign w:val="center"/>
          </w:tcPr>
          <w:p w14:paraId="7606E2A9">
            <w:pPr>
              <w:spacing w:line="320" w:lineRule="exact"/>
              <w:rPr>
                <w:rFonts w:hint="eastAsia" w:ascii="宋体" w:hAnsi="宋体" w:eastAsia="宋体" w:cs="宋体"/>
                <w:color w:val="auto"/>
                <w:sz w:val="24"/>
                <w:szCs w:val="24"/>
                <w:highlight w:val="none"/>
              </w:rPr>
            </w:pPr>
          </w:p>
        </w:tc>
      </w:tr>
      <w:tr w14:paraId="54DAF8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4" w:hRule="atLeast"/>
        </w:trPr>
        <w:tc>
          <w:tcPr>
            <w:tcW w:w="4030" w:type="dxa"/>
            <w:vAlign w:val="center"/>
          </w:tcPr>
          <w:p w14:paraId="3EFCBBDF">
            <w:pP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1.6 双方权利义务</w:t>
            </w:r>
          </w:p>
        </w:tc>
        <w:tc>
          <w:tcPr>
            <w:tcW w:w="1412" w:type="dxa"/>
            <w:vAlign w:val="center"/>
          </w:tcPr>
          <w:p w14:paraId="74FC80F2">
            <w:pPr>
              <w:spacing w:line="320" w:lineRule="exact"/>
              <w:rPr>
                <w:rFonts w:hint="eastAsia" w:ascii="宋体" w:hAnsi="宋体" w:eastAsia="宋体" w:cs="宋体"/>
                <w:color w:val="auto"/>
                <w:sz w:val="24"/>
                <w:szCs w:val="24"/>
                <w:highlight w:val="none"/>
              </w:rPr>
            </w:pPr>
          </w:p>
        </w:tc>
        <w:tc>
          <w:tcPr>
            <w:tcW w:w="4097" w:type="dxa"/>
            <w:vAlign w:val="center"/>
          </w:tcPr>
          <w:p w14:paraId="2EA28D11">
            <w:pPr>
              <w:spacing w:line="320" w:lineRule="exact"/>
              <w:rPr>
                <w:rFonts w:hint="eastAsia" w:ascii="宋体" w:hAnsi="宋体" w:eastAsia="宋体" w:cs="宋体"/>
                <w:color w:val="auto"/>
                <w:sz w:val="24"/>
                <w:szCs w:val="24"/>
                <w:highlight w:val="none"/>
              </w:rPr>
            </w:pPr>
          </w:p>
        </w:tc>
      </w:tr>
      <w:tr w14:paraId="62B1EF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4" w:hRule="atLeast"/>
        </w:trPr>
        <w:tc>
          <w:tcPr>
            <w:tcW w:w="4030" w:type="dxa"/>
            <w:vAlign w:val="center"/>
          </w:tcPr>
          <w:p w14:paraId="771D826F">
            <w:pPr>
              <w:spacing w:line="32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1.7 违约责任</w:t>
            </w:r>
          </w:p>
        </w:tc>
        <w:tc>
          <w:tcPr>
            <w:tcW w:w="1412" w:type="dxa"/>
            <w:vAlign w:val="center"/>
          </w:tcPr>
          <w:p w14:paraId="64083F37">
            <w:pPr>
              <w:spacing w:line="320" w:lineRule="exact"/>
              <w:rPr>
                <w:rFonts w:hint="eastAsia" w:ascii="宋体" w:hAnsi="宋体" w:eastAsia="宋体" w:cs="宋体"/>
                <w:color w:val="auto"/>
                <w:sz w:val="24"/>
                <w:szCs w:val="24"/>
                <w:highlight w:val="none"/>
              </w:rPr>
            </w:pPr>
          </w:p>
        </w:tc>
        <w:tc>
          <w:tcPr>
            <w:tcW w:w="4097" w:type="dxa"/>
            <w:vAlign w:val="center"/>
          </w:tcPr>
          <w:p w14:paraId="0D200F74">
            <w:pPr>
              <w:spacing w:line="320" w:lineRule="exact"/>
              <w:rPr>
                <w:rFonts w:hint="eastAsia" w:ascii="宋体" w:hAnsi="宋体" w:eastAsia="宋体" w:cs="宋体"/>
                <w:color w:val="auto"/>
                <w:sz w:val="24"/>
                <w:szCs w:val="24"/>
                <w:highlight w:val="none"/>
              </w:rPr>
            </w:pPr>
          </w:p>
        </w:tc>
      </w:tr>
      <w:tr w14:paraId="627FB4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4" w:hRule="atLeast"/>
        </w:trPr>
        <w:tc>
          <w:tcPr>
            <w:tcW w:w="4030" w:type="dxa"/>
            <w:vAlign w:val="center"/>
          </w:tcPr>
          <w:p w14:paraId="0BC1E0F6">
            <w:pP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1.8 合同的解除</w:t>
            </w:r>
          </w:p>
        </w:tc>
        <w:tc>
          <w:tcPr>
            <w:tcW w:w="1412" w:type="dxa"/>
            <w:vAlign w:val="center"/>
          </w:tcPr>
          <w:p w14:paraId="3258A90B">
            <w:pPr>
              <w:spacing w:line="320" w:lineRule="exact"/>
              <w:rPr>
                <w:rFonts w:hint="eastAsia" w:ascii="宋体" w:hAnsi="宋体" w:eastAsia="宋体" w:cs="宋体"/>
                <w:color w:val="auto"/>
                <w:sz w:val="24"/>
                <w:szCs w:val="24"/>
                <w:highlight w:val="none"/>
              </w:rPr>
            </w:pPr>
          </w:p>
        </w:tc>
        <w:tc>
          <w:tcPr>
            <w:tcW w:w="4097" w:type="dxa"/>
            <w:vAlign w:val="center"/>
          </w:tcPr>
          <w:p w14:paraId="7CD09380">
            <w:pPr>
              <w:spacing w:line="320" w:lineRule="exact"/>
              <w:rPr>
                <w:rFonts w:hint="eastAsia" w:ascii="宋体" w:hAnsi="宋体" w:eastAsia="宋体" w:cs="宋体"/>
                <w:color w:val="auto"/>
                <w:sz w:val="24"/>
                <w:szCs w:val="24"/>
                <w:highlight w:val="none"/>
              </w:rPr>
            </w:pPr>
          </w:p>
        </w:tc>
      </w:tr>
      <w:tr w14:paraId="4F449F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4" w:hRule="atLeast"/>
        </w:trPr>
        <w:tc>
          <w:tcPr>
            <w:tcW w:w="4030" w:type="dxa"/>
            <w:vAlign w:val="center"/>
          </w:tcPr>
          <w:p w14:paraId="1689B4AC">
            <w:pP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1.9 合同争议的解决</w:t>
            </w:r>
          </w:p>
        </w:tc>
        <w:tc>
          <w:tcPr>
            <w:tcW w:w="1412" w:type="dxa"/>
            <w:vAlign w:val="center"/>
          </w:tcPr>
          <w:p w14:paraId="4BAA64B9">
            <w:pPr>
              <w:spacing w:line="320" w:lineRule="exact"/>
              <w:rPr>
                <w:rFonts w:hint="eastAsia" w:ascii="宋体" w:hAnsi="宋体" w:eastAsia="宋体" w:cs="宋体"/>
                <w:color w:val="auto"/>
                <w:sz w:val="24"/>
                <w:szCs w:val="24"/>
                <w:highlight w:val="none"/>
              </w:rPr>
            </w:pPr>
          </w:p>
        </w:tc>
        <w:tc>
          <w:tcPr>
            <w:tcW w:w="4097" w:type="dxa"/>
            <w:vAlign w:val="center"/>
          </w:tcPr>
          <w:p w14:paraId="3F78FA28">
            <w:pPr>
              <w:spacing w:line="320" w:lineRule="exact"/>
              <w:rPr>
                <w:rFonts w:hint="eastAsia" w:ascii="宋体" w:hAnsi="宋体" w:eastAsia="宋体" w:cs="宋体"/>
                <w:color w:val="auto"/>
                <w:sz w:val="24"/>
                <w:szCs w:val="24"/>
                <w:highlight w:val="none"/>
              </w:rPr>
            </w:pPr>
          </w:p>
        </w:tc>
      </w:tr>
      <w:tr w14:paraId="4AAC75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4" w:hRule="atLeast"/>
        </w:trPr>
        <w:tc>
          <w:tcPr>
            <w:tcW w:w="4030" w:type="dxa"/>
            <w:vAlign w:val="center"/>
          </w:tcPr>
          <w:p w14:paraId="48C7BBCB">
            <w:pP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1.10 合同生效及其他</w:t>
            </w:r>
          </w:p>
        </w:tc>
        <w:tc>
          <w:tcPr>
            <w:tcW w:w="1412" w:type="dxa"/>
            <w:vAlign w:val="center"/>
          </w:tcPr>
          <w:p w14:paraId="2544F50B">
            <w:pPr>
              <w:spacing w:line="320" w:lineRule="exact"/>
              <w:rPr>
                <w:rFonts w:hint="eastAsia" w:ascii="宋体" w:hAnsi="宋体" w:eastAsia="宋体" w:cs="宋体"/>
                <w:color w:val="auto"/>
                <w:sz w:val="24"/>
                <w:szCs w:val="24"/>
                <w:highlight w:val="none"/>
              </w:rPr>
            </w:pPr>
          </w:p>
        </w:tc>
        <w:tc>
          <w:tcPr>
            <w:tcW w:w="4097" w:type="dxa"/>
            <w:vAlign w:val="center"/>
          </w:tcPr>
          <w:p w14:paraId="4201DCCD">
            <w:pPr>
              <w:spacing w:line="320" w:lineRule="exact"/>
              <w:rPr>
                <w:rFonts w:hint="eastAsia" w:ascii="宋体" w:hAnsi="宋体" w:eastAsia="宋体" w:cs="宋体"/>
                <w:color w:val="auto"/>
                <w:sz w:val="24"/>
                <w:szCs w:val="24"/>
                <w:highlight w:val="none"/>
              </w:rPr>
            </w:pPr>
          </w:p>
        </w:tc>
      </w:tr>
      <w:tr w14:paraId="4F9C92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4" w:hRule="atLeast"/>
        </w:trPr>
        <w:tc>
          <w:tcPr>
            <w:tcW w:w="4030" w:type="dxa"/>
            <w:vAlign w:val="center"/>
          </w:tcPr>
          <w:p w14:paraId="101B115F">
            <w:pP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2.1 定义</w:t>
            </w:r>
          </w:p>
        </w:tc>
        <w:tc>
          <w:tcPr>
            <w:tcW w:w="1412" w:type="dxa"/>
            <w:vAlign w:val="center"/>
          </w:tcPr>
          <w:p w14:paraId="57003F2C">
            <w:pPr>
              <w:spacing w:line="320" w:lineRule="exact"/>
              <w:rPr>
                <w:rFonts w:hint="eastAsia" w:ascii="宋体" w:hAnsi="宋体" w:eastAsia="宋体" w:cs="宋体"/>
                <w:color w:val="auto"/>
                <w:sz w:val="24"/>
                <w:szCs w:val="24"/>
                <w:highlight w:val="none"/>
              </w:rPr>
            </w:pPr>
          </w:p>
        </w:tc>
        <w:tc>
          <w:tcPr>
            <w:tcW w:w="4097" w:type="dxa"/>
            <w:vAlign w:val="center"/>
          </w:tcPr>
          <w:p w14:paraId="3C602689">
            <w:pPr>
              <w:spacing w:line="320" w:lineRule="exact"/>
              <w:rPr>
                <w:rFonts w:hint="eastAsia" w:ascii="宋体" w:hAnsi="宋体" w:eastAsia="宋体" w:cs="宋体"/>
                <w:color w:val="auto"/>
                <w:sz w:val="24"/>
                <w:szCs w:val="24"/>
                <w:highlight w:val="none"/>
              </w:rPr>
            </w:pPr>
          </w:p>
        </w:tc>
      </w:tr>
      <w:tr w14:paraId="21FFEC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4" w:hRule="atLeast"/>
        </w:trPr>
        <w:tc>
          <w:tcPr>
            <w:tcW w:w="4030" w:type="dxa"/>
            <w:vAlign w:val="center"/>
          </w:tcPr>
          <w:p w14:paraId="170928F6">
            <w:pP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2.2 技术规范</w:t>
            </w:r>
          </w:p>
        </w:tc>
        <w:tc>
          <w:tcPr>
            <w:tcW w:w="1412" w:type="dxa"/>
            <w:vAlign w:val="center"/>
          </w:tcPr>
          <w:p w14:paraId="6276DC98">
            <w:pPr>
              <w:spacing w:line="320" w:lineRule="exact"/>
              <w:rPr>
                <w:rFonts w:hint="eastAsia" w:ascii="宋体" w:hAnsi="宋体" w:eastAsia="宋体" w:cs="宋体"/>
                <w:color w:val="auto"/>
                <w:sz w:val="24"/>
                <w:szCs w:val="24"/>
                <w:highlight w:val="none"/>
              </w:rPr>
            </w:pPr>
          </w:p>
        </w:tc>
        <w:tc>
          <w:tcPr>
            <w:tcW w:w="4097" w:type="dxa"/>
            <w:vAlign w:val="center"/>
          </w:tcPr>
          <w:p w14:paraId="14ED0EC1">
            <w:pPr>
              <w:spacing w:line="320" w:lineRule="exact"/>
              <w:rPr>
                <w:rFonts w:hint="eastAsia" w:ascii="宋体" w:hAnsi="宋体" w:eastAsia="宋体" w:cs="宋体"/>
                <w:color w:val="auto"/>
                <w:sz w:val="24"/>
                <w:szCs w:val="24"/>
                <w:highlight w:val="none"/>
              </w:rPr>
            </w:pPr>
          </w:p>
        </w:tc>
      </w:tr>
      <w:tr w14:paraId="1F820D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4" w:hRule="atLeast"/>
        </w:trPr>
        <w:tc>
          <w:tcPr>
            <w:tcW w:w="4030" w:type="dxa"/>
            <w:vAlign w:val="center"/>
          </w:tcPr>
          <w:p w14:paraId="4DC42E2C">
            <w:pP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2.3 知识产权</w:t>
            </w:r>
          </w:p>
        </w:tc>
        <w:tc>
          <w:tcPr>
            <w:tcW w:w="1412" w:type="dxa"/>
            <w:vAlign w:val="center"/>
          </w:tcPr>
          <w:p w14:paraId="4A02B7BC">
            <w:pPr>
              <w:spacing w:line="320" w:lineRule="exact"/>
              <w:rPr>
                <w:rFonts w:hint="eastAsia" w:ascii="宋体" w:hAnsi="宋体" w:eastAsia="宋体" w:cs="宋体"/>
                <w:color w:val="auto"/>
                <w:sz w:val="24"/>
                <w:szCs w:val="24"/>
                <w:highlight w:val="none"/>
              </w:rPr>
            </w:pPr>
          </w:p>
        </w:tc>
        <w:tc>
          <w:tcPr>
            <w:tcW w:w="4097" w:type="dxa"/>
            <w:vAlign w:val="center"/>
          </w:tcPr>
          <w:p w14:paraId="48382BB2">
            <w:pPr>
              <w:spacing w:line="320" w:lineRule="exact"/>
              <w:rPr>
                <w:rFonts w:hint="eastAsia" w:ascii="宋体" w:hAnsi="宋体" w:eastAsia="宋体" w:cs="宋体"/>
                <w:color w:val="auto"/>
                <w:sz w:val="24"/>
                <w:szCs w:val="24"/>
                <w:highlight w:val="none"/>
              </w:rPr>
            </w:pPr>
          </w:p>
        </w:tc>
      </w:tr>
      <w:tr w14:paraId="5D0FCF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4" w:hRule="atLeast"/>
        </w:trPr>
        <w:tc>
          <w:tcPr>
            <w:tcW w:w="4030" w:type="dxa"/>
            <w:vAlign w:val="center"/>
          </w:tcPr>
          <w:p w14:paraId="3521D8AB">
            <w:pP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2.4 履约检查和问题反馈</w:t>
            </w:r>
          </w:p>
        </w:tc>
        <w:tc>
          <w:tcPr>
            <w:tcW w:w="1412" w:type="dxa"/>
            <w:vAlign w:val="center"/>
          </w:tcPr>
          <w:p w14:paraId="37E1B107">
            <w:pPr>
              <w:spacing w:line="320" w:lineRule="exact"/>
              <w:rPr>
                <w:rFonts w:hint="eastAsia" w:ascii="宋体" w:hAnsi="宋体" w:eastAsia="宋体" w:cs="宋体"/>
                <w:color w:val="auto"/>
                <w:sz w:val="24"/>
                <w:szCs w:val="24"/>
                <w:highlight w:val="none"/>
              </w:rPr>
            </w:pPr>
          </w:p>
        </w:tc>
        <w:tc>
          <w:tcPr>
            <w:tcW w:w="4097" w:type="dxa"/>
            <w:vAlign w:val="center"/>
          </w:tcPr>
          <w:p w14:paraId="2D50B629">
            <w:pPr>
              <w:spacing w:line="320" w:lineRule="exact"/>
              <w:rPr>
                <w:rFonts w:hint="eastAsia" w:ascii="宋体" w:hAnsi="宋体" w:eastAsia="宋体" w:cs="宋体"/>
                <w:color w:val="auto"/>
                <w:sz w:val="24"/>
                <w:szCs w:val="24"/>
                <w:highlight w:val="none"/>
              </w:rPr>
            </w:pPr>
          </w:p>
        </w:tc>
      </w:tr>
      <w:tr w14:paraId="777333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4" w:hRule="atLeast"/>
        </w:trPr>
        <w:tc>
          <w:tcPr>
            <w:tcW w:w="4030" w:type="dxa"/>
            <w:vAlign w:val="center"/>
          </w:tcPr>
          <w:p w14:paraId="5255DA4A">
            <w:pP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2.5 技术资料和保密义务</w:t>
            </w:r>
          </w:p>
        </w:tc>
        <w:tc>
          <w:tcPr>
            <w:tcW w:w="1412" w:type="dxa"/>
            <w:vAlign w:val="center"/>
          </w:tcPr>
          <w:p w14:paraId="22256D13">
            <w:pPr>
              <w:spacing w:line="320" w:lineRule="exact"/>
              <w:rPr>
                <w:rFonts w:hint="eastAsia" w:ascii="宋体" w:hAnsi="宋体" w:eastAsia="宋体" w:cs="宋体"/>
                <w:color w:val="auto"/>
                <w:sz w:val="24"/>
                <w:szCs w:val="24"/>
                <w:highlight w:val="none"/>
              </w:rPr>
            </w:pPr>
          </w:p>
        </w:tc>
        <w:tc>
          <w:tcPr>
            <w:tcW w:w="4097" w:type="dxa"/>
            <w:vAlign w:val="center"/>
          </w:tcPr>
          <w:p w14:paraId="42009176">
            <w:pPr>
              <w:spacing w:line="320" w:lineRule="exact"/>
              <w:rPr>
                <w:rFonts w:hint="eastAsia" w:ascii="宋体" w:hAnsi="宋体" w:eastAsia="宋体" w:cs="宋体"/>
                <w:color w:val="auto"/>
                <w:sz w:val="24"/>
                <w:szCs w:val="24"/>
                <w:highlight w:val="none"/>
              </w:rPr>
            </w:pPr>
          </w:p>
        </w:tc>
      </w:tr>
      <w:tr w14:paraId="3064C9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4" w:hRule="atLeast"/>
        </w:trPr>
        <w:tc>
          <w:tcPr>
            <w:tcW w:w="4030" w:type="dxa"/>
            <w:vAlign w:val="center"/>
          </w:tcPr>
          <w:p w14:paraId="081A621B">
            <w:pPr>
              <w:spacing w:line="32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2.6 质量保证</w:t>
            </w:r>
            <w:r>
              <w:rPr>
                <w:rFonts w:hint="eastAsia" w:ascii="宋体" w:hAnsi="宋体" w:eastAsia="宋体" w:cs="宋体"/>
                <w:color w:val="auto"/>
                <w:sz w:val="24"/>
                <w:szCs w:val="24"/>
                <w:highlight w:val="none"/>
                <w:lang w:val="en-US" w:eastAsia="zh-CN"/>
              </w:rPr>
              <w:t>及验收办法</w:t>
            </w:r>
          </w:p>
        </w:tc>
        <w:tc>
          <w:tcPr>
            <w:tcW w:w="1412" w:type="dxa"/>
            <w:vAlign w:val="center"/>
          </w:tcPr>
          <w:p w14:paraId="2FA490CF">
            <w:pPr>
              <w:spacing w:line="320" w:lineRule="exact"/>
              <w:rPr>
                <w:rFonts w:hint="eastAsia" w:ascii="宋体" w:hAnsi="宋体" w:eastAsia="宋体" w:cs="宋体"/>
                <w:color w:val="auto"/>
                <w:sz w:val="24"/>
                <w:szCs w:val="24"/>
                <w:highlight w:val="none"/>
              </w:rPr>
            </w:pPr>
          </w:p>
        </w:tc>
        <w:tc>
          <w:tcPr>
            <w:tcW w:w="4097" w:type="dxa"/>
            <w:vAlign w:val="center"/>
          </w:tcPr>
          <w:p w14:paraId="4F567311">
            <w:pPr>
              <w:spacing w:line="320" w:lineRule="exact"/>
              <w:rPr>
                <w:rFonts w:hint="eastAsia" w:ascii="宋体" w:hAnsi="宋体" w:eastAsia="宋体" w:cs="宋体"/>
                <w:color w:val="auto"/>
                <w:sz w:val="24"/>
                <w:szCs w:val="24"/>
                <w:highlight w:val="none"/>
              </w:rPr>
            </w:pPr>
          </w:p>
        </w:tc>
      </w:tr>
      <w:tr w14:paraId="4DBB0F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4" w:hRule="atLeast"/>
        </w:trPr>
        <w:tc>
          <w:tcPr>
            <w:tcW w:w="4030" w:type="dxa"/>
            <w:vAlign w:val="center"/>
          </w:tcPr>
          <w:p w14:paraId="5043F7DD">
            <w:pP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2.7 延迟履行</w:t>
            </w:r>
          </w:p>
        </w:tc>
        <w:tc>
          <w:tcPr>
            <w:tcW w:w="1412" w:type="dxa"/>
            <w:vAlign w:val="center"/>
          </w:tcPr>
          <w:p w14:paraId="1553E834">
            <w:pPr>
              <w:spacing w:line="320" w:lineRule="exact"/>
              <w:rPr>
                <w:rFonts w:hint="eastAsia" w:ascii="宋体" w:hAnsi="宋体" w:eastAsia="宋体" w:cs="宋体"/>
                <w:color w:val="auto"/>
                <w:sz w:val="24"/>
                <w:szCs w:val="24"/>
                <w:highlight w:val="none"/>
              </w:rPr>
            </w:pPr>
          </w:p>
        </w:tc>
        <w:tc>
          <w:tcPr>
            <w:tcW w:w="4097" w:type="dxa"/>
            <w:vAlign w:val="center"/>
          </w:tcPr>
          <w:p w14:paraId="74C5F8CE">
            <w:pPr>
              <w:spacing w:line="320" w:lineRule="exact"/>
              <w:rPr>
                <w:rFonts w:hint="eastAsia" w:ascii="宋体" w:hAnsi="宋体" w:eastAsia="宋体" w:cs="宋体"/>
                <w:color w:val="auto"/>
                <w:sz w:val="24"/>
                <w:szCs w:val="24"/>
                <w:highlight w:val="none"/>
              </w:rPr>
            </w:pPr>
          </w:p>
        </w:tc>
      </w:tr>
      <w:tr w14:paraId="36A7EC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4" w:hRule="atLeast"/>
        </w:trPr>
        <w:tc>
          <w:tcPr>
            <w:tcW w:w="4030" w:type="dxa"/>
            <w:vAlign w:val="center"/>
          </w:tcPr>
          <w:p w14:paraId="5E21ACB1">
            <w:pP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2.8 合同变更</w:t>
            </w:r>
          </w:p>
        </w:tc>
        <w:tc>
          <w:tcPr>
            <w:tcW w:w="1412" w:type="dxa"/>
            <w:vAlign w:val="center"/>
          </w:tcPr>
          <w:p w14:paraId="5883DECD">
            <w:pPr>
              <w:spacing w:line="320" w:lineRule="exact"/>
              <w:rPr>
                <w:rFonts w:hint="eastAsia" w:ascii="宋体" w:hAnsi="宋体" w:eastAsia="宋体" w:cs="宋体"/>
                <w:color w:val="auto"/>
                <w:sz w:val="24"/>
                <w:szCs w:val="24"/>
                <w:highlight w:val="none"/>
              </w:rPr>
            </w:pPr>
          </w:p>
        </w:tc>
        <w:tc>
          <w:tcPr>
            <w:tcW w:w="4097" w:type="dxa"/>
            <w:vAlign w:val="center"/>
          </w:tcPr>
          <w:p w14:paraId="5ABC7532">
            <w:pPr>
              <w:spacing w:line="320" w:lineRule="exact"/>
              <w:rPr>
                <w:rFonts w:hint="eastAsia" w:ascii="宋体" w:hAnsi="宋体" w:eastAsia="宋体" w:cs="宋体"/>
                <w:color w:val="auto"/>
                <w:sz w:val="24"/>
                <w:szCs w:val="24"/>
                <w:highlight w:val="none"/>
              </w:rPr>
            </w:pPr>
          </w:p>
        </w:tc>
      </w:tr>
      <w:tr w14:paraId="4493C4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4" w:hRule="atLeast"/>
        </w:trPr>
        <w:tc>
          <w:tcPr>
            <w:tcW w:w="4030" w:type="dxa"/>
            <w:vAlign w:val="center"/>
          </w:tcPr>
          <w:p w14:paraId="67B1D3A7">
            <w:pP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2.9 合同转让和分包</w:t>
            </w:r>
          </w:p>
        </w:tc>
        <w:tc>
          <w:tcPr>
            <w:tcW w:w="1412" w:type="dxa"/>
            <w:vAlign w:val="center"/>
          </w:tcPr>
          <w:p w14:paraId="525642D1">
            <w:pPr>
              <w:spacing w:line="320" w:lineRule="exact"/>
              <w:rPr>
                <w:rFonts w:hint="eastAsia" w:ascii="宋体" w:hAnsi="宋体" w:eastAsia="宋体" w:cs="宋体"/>
                <w:color w:val="auto"/>
                <w:sz w:val="24"/>
                <w:szCs w:val="24"/>
                <w:highlight w:val="none"/>
              </w:rPr>
            </w:pPr>
          </w:p>
        </w:tc>
        <w:tc>
          <w:tcPr>
            <w:tcW w:w="4097" w:type="dxa"/>
            <w:vAlign w:val="center"/>
          </w:tcPr>
          <w:p w14:paraId="59BE3C02">
            <w:pPr>
              <w:spacing w:line="320" w:lineRule="exact"/>
              <w:rPr>
                <w:rFonts w:hint="eastAsia" w:ascii="宋体" w:hAnsi="宋体" w:eastAsia="宋体" w:cs="宋体"/>
                <w:color w:val="auto"/>
                <w:sz w:val="24"/>
                <w:szCs w:val="24"/>
                <w:highlight w:val="none"/>
              </w:rPr>
            </w:pPr>
          </w:p>
        </w:tc>
      </w:tr>
      <w:tr w14:paraId="7412A3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4" w:hRule="atLeast"/>
        </w:trPr>
        <w:tc>
          <w:tcPr>
            <w:tcW w:w="4030" w:type="dxa"/>
            <w:vAlign w:val="center"/>
          </w:tcPr>
          <w:p w14:paraId="316B2935">
            <w:pP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2.10 不可抗力</w:t>
            </w:r>
          </w:p>
        </w:tc>
        <w:tc>
          <w:tcPr>
            <w:tcW w:w="1412" w:type="dxa"/>
            <w:vAlign w:val="center"/>
          </w:tcPr>
          <w:p w14:paraId="3AAD9413">
            <w:pPr>
              <w:spacing w:line="320" w:lineRule="exact"/>
              <w:rPr>
                <w:rFonts w:hint="eastAsia" w:ascii="宋体" w:hAnsi="宋体" w:eastAsia="宋体" w:cs="宋体"/>
                <w:color w:val="auto"/>
                <w:sz w:val="24"/>
                <w:szCs w:val="24"/>
                <w:highlight w:val="none"/>
              </w:rPr>
            </w:pPr>
          </w:p>
        </w:tc>
        <w:tc>
          <w:tcPr>
            <w:tcW w:w="4097" w:type="dxa"/>
            <w:vAlign w:val="center"/>
          </w:tcPr>
          <w:p w14:paraId="37C00DE6">
            <w:pPr>
              <w:spacing w:line="320" w:lineRule="exact"/>
              <w:rPr>
                <w:rFonts w:hint="eastAsia" w:ascii="宋体" w:hAnsi="宋体" w:eastAsia="宋体" w:cs="宋体"/>
                <w:color w:val="auto"/>
                <w:sz w:val="24"/>
                <w:szCs w:val="24"/>
                <w:highlight w:val="none"/>
              </w:rPr>
            </w:pPr>
          </w:p>
        </w:tc>
      </w:tr>
      <w:tr w14:paraId="21094C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4" w:hRule="atLeast"/>
        </w:trPr>
        <w:tc>
          <w:tcPr>
            <w:tcW w:w="4030" w:type="dxa"/>
            <w:vAlign w:val="center"/>
          </w:tcPr>
          <w:p w14:paraId="66FBCF26">
            <w:pP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2.11 税费</w:t>
            </w:r>
          </w:p>
        </w:tc>
        <w:tc>
          <w:tcPr>
            <w:tcW w:w="1412" w:type="dxa"/>
            <w:vAlign w:val="center"/>
          </w:tcPr>
          <w:p w14:paraId="36880988">
            <w:pPr>
              <w:spacing w:line="320" w:lineRule="exact"/>
              <w:rPr>
                <w:rFonts w:hint="eastAsia" w:ascii="宋体" w:hAnsi="宋体" w:eastAsia="宋体" w:cs="宋体"/>
                <w:color w:val="auto"/>
                <w:sz w:val="24"/>
                <w:szCs w:val="24"/>
                <w:highlight w:val="none"/>
              </w:rPr>
            </w:pPr>
          </w:p>
        </w:tc>
        <w:tc>
          <w:tcPr>
            <w:tcW w:w="4097" w:type="dxa"/>
            <w:vAlign w:val="center"/>
          </w:tcPr>
          <w:p w14:paraId="32BD6BA1">
            <w:pPr>
              <w:spacing w:line="320" w:lineRule="exact"/>
              <w:rPr>
                <w:rFonts w:hint="eastAsia" w:ascii="宋体" w:hAnsi="宋体" w:eastAsia="宋体" w:cs="宋体"/>
                <w:color w:val="auto"/>
                <w:sz w:val="24"/>
                <w:szCs w:val="24"/>
                <w:highlight w:val="none"/>
              </w:rPr>
            </w:pPr>
          </w:p>
        </w:tc>
      </w:tr>
      <w:tr w14:paraId="039393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4" w:hRule="atLeast"/>
        </w:trPr>
        <w:tc>
          <w:tcPr>
            <w:tcW w:w="4030" w:type="dxa"/>
            <w:vAlign w:val="center"/>
          </w:tcPr>
          <w:p w14:paraId="68529C57">
            <w:pP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2.12 乙方破产</w:t>
            </w:r>
          </w:p>
        </w:tc>
        <w:tc>
          <w:tcPr>
            <w:tcW w:w="1412" w:type="dxa"/>
            <w:vAlign w:val="center"/>
          </w:tcPr>
          <w:p w14:paraId="733D6693">
            <w:pPr>
              <w:spacing w:line="320" w:lineRule="exact"/>
              <w:rPr>
                <w:rFonts w:hint="eastAsia" w:ascii="宋体" w:hAnsi="宋体" w:eastAsia="宋体" w:cs="宋体"/>
                <w:color w:val="auto"/>
                <w:sz w:val="24"/>
                <w:szCs w:val="24"/>
                <w:highlight w:val="none"/>
              </w:rPr>
            </w:pPr>
          </w:p>
        </w:tc>
        <w:tc>
          <w:tcPr>
            <w:tcW w:w="4097" w:type="dxa"/>
            <w:vAlign w:val="center"/>
          </w:tcPr>
          <w:p w14:paraId="0EDE1676">
            <w:pPr>
              <w:spacing w:line="320" w:lineRule="exact"/>
              <w:rPr>
                <w:rFonts w:hint="eastAsia" w:ascii="宋体" w:hAnsi="宋体" w:eastAsia="宋体" w:cs="宋体"/>
                <w:color w:val="auto"/>
                <w:sz w:val="24"/>
                <w:szCs w:val="24"/>
                <w:highlight w:val="none"/>
              </w:rPr>
            </w:pPr>
          </w:p>
        </w:tc>
      </w:tr>
      <w:tr w14:paraId="6DEB0B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4" w:hRule="atLeast"/>
        </w:trPr>
        <w:tc>
          <w:tcPr>
            <w:tcW w:w="4030" w:type="dxa"/>
            <w:vAlign w:val="center"/>
          </w:tcPr>
          <w:p w14:paraId="6C244407">
            <w:pP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2.13 合同中止、终止</w:t>
            </w:r>
          </w:p>
        </w:tc>
        <w:tc>
          <w:tcPr>
            <w:tcW w:w="1412" w:type="dxa"/>
            <w:vAlign w:val="center"/>
          </w:tcPr>
          <w:p w14:paraId="512788E0">
            <w:pPr>
              <w:spacing w:line="320" w:lineRule="exact"/>
              <w:rPr>
                <w:rFonts w:hint="eastAsia" w:ascii="宋体" w:hAnsi="宋体" w:eastAsia="宋体" w:cs="宋体"/>
                <w:color w:val="auto"/>
                <w:sz w:val="24"/>
                <w:szCs w:val="24"/>
                <w:highlight w:val="none"/>
              </w:rPr>
            </w:pPr>
          </w:p>
        </w:tc>
        <w:tc>
          <w:tcPr>
            <w:tcW w:w="4097" w:type="dxa"/>
            <w:vAlign w:val="center"/>
          </w:tcPr>
          <w:p w14:paraId="07B1DCF7">
            <w:pPr>
              <w:spacing w:line="320" w:lineRule="exact"/>
              <w:rPr>
                <w:rFonts w:hint="eastAsia" w:ascii="宋体" w:hAnsi="宋体" w:eastAsia="宋体" w:cs="宋体"/>
                <w:color w:val="auto"/>
                <w:sz w:val="24"/>
                <w:szCs w:val="24"/>
                <w:highlight w:val="none"/>
              </w:rPr>
            </w:pPr>
          </w:p>
        </w:tc>
      </w:tr>
      <w:tr w14:paraId="1587D7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4" w:hRule="atLeast"/>
        </w:trPr>
        <w:tc>
          <w:tcPr>
            <w:tcW w:w="4030" w:type="dxa"/>
            <w:vAlign w:val="center"/>
          </w:tcPr>
          <w:p w14:paraId="3F5AF0CE">
            <w:pP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2.14 通知和送达</w:t>
            </w:r>
          </w:p>
        </w:tc>
        <w:tc>
          <w:tcPr>
            <w:tcW w:w="1412" w:type="dxa"/>
            <w:vAlign w:val="center"/>
          </w:tcPr>
          <w:p w14:paraId="37E0B637">
            <w:pPr>
              <w:spacing w:line="320" w:lineRule="exact"/>
              <w:rPr>
                <w:rFonts w:hint="eastAsia" w:ascii="宋体" w:hAnsi="宋体" w:eastAsia="宋体" w:cs="宋体"/>
                <w:color w:val="auto"/>
                <w:sz w:val="24"/>
                <w:szCs w:val="24"/>
                <w:highlight w:val="none"/>
              </w:rPr>
            </w:pPr>
          </w:p>
        </w:tc>
        <w:tc>
          <w:tcPr>
            <w:tcW w:w="4097" w:type="dxa"/>
            <w:vAlign w:val="center"/>
          </w:tcPr>
          <w:p w14:paraId="548A3213">
            <w:pPr>
              <w:spacing w:line="320" w:lineRule="exact"/>
              <w:rPr>
                <w:rFonts w:hint="eastAsia" w:ascii="宋体" w:hAnsi="宋体" w:eastAsia="宋体" w:cs="宋体"/>
                <w:color w:val="auto"/>
                <w:sz w:val="24"/>
                <w:szCs w:val="24"/>
                <w:highlight w:val="none"/>
              </w:rPr>
            </w:pPr>
          </w:p>
        </w:tc>
      </w:tr>
      <w:tr w14:paraId="33FFD7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4" w:hRule="atLeast"/>
        </w:trPr>
        <w:tc>
          <w:tcPr>
            <w:tcW w:w="4030" w:type="dxa"/>
            <w:vAlign w:val="center"/>
          </w:tcPr>
          <w:p w14:paraId="4B57BF9B">
            <w:pP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2.15 合同使用的文字和适用的法律</w:t>
            </w:r>
          </w:p>
        </w:tc>
        <w:tc>
          <w:tcPr>
            <w:tcW w:w="1412" w:type="dxa"/>
            <w:vAlign w:val="center"/>
          </w:tcPr>
          <w:p w14:paraId="72563504">
            <w:pPr>
              <w:spacing w:line="320" w:lineRule="exact"/>
              <w:rPr>
                <w:rFonts w:hint="eastAsia" w:ascii="宋体" w:hAnsi="宋体" w:eastAsia="宋体" w:cs="宋体"/>
                <w:color w:val="auto"/>
                <w:sz w:val="24"/>
                <w:szCs w:val="24"/>
                <w:highlight w:val="none"/>
              </w:rPr>
            </w:pPr>
          </w:p>
        </w:tc>
        <w:tc>
          <w:tcPr>
            <w:tcW w:w="4097" w:type="dxa"/>
            <w:vAlign w:val="center"/>
          </w:tcPr>
          <w:p w14:paraId="5678FFEE">
            <w:pPr>
              <w:spacing w:line="320" w:lineRule="exact"/>
              <w:rPr>
                <w:rFonts w:hint="eastAsia" w:ascii="宋体" w:hAnsi="宋体" w:eastAsia="宋体" w:cs="宋体"/>
                <w:color w:val="auto"/>
                <w:sz w:val="24"/>
                <w:szCs w:val="24"/>
                <w:highlight w:val="none"/>
              </w:rPr>
            </w:pPr>
          </w:p>
        </w:tc>
      </w:tr>
      <w:tr w14:paraId="76987F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3" w:hRule="atLeast"/>
        </w:trPr>
        <w:tc>
          <w:tcPr>
            <w:tcW w:w="4030" w:type="dxa"/>
            <w:vAlign w:val="center"/>
          </w:tcPr>
          <w:p w14:paraId="1FEE89A1">
            <w:pP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2.16 履约保证金</w:t>
            </w:r>
          </w:p>
        </w:tc>
        <w:tc>
          <w:tcPr>
            <w:tcW w:w="1412" w:type="dxa"/>
            <w:vAlign w:val="center"/>
          </w:tcPr>
          <w:p w14:paraId="617D55AA">
            <w:pPr>
              <w:spacing w:line="320" w:lineRule="exact"/>
              <w:rPr>
                <w:rFonts w:hint="eastAsia" w:ascii="宋体" w:hAnsi="宋体" w:eastAsia="宋体" w:cs="宋体"/>
                <w:color w:val="auto"/>
                <w:sz w:val="24"/>
                <w:szCs w:val="24"/>
                <w:highlight w:val="none"/>
              </w:rPr>
            </w:pPr>
          </w:p>
        </w:tc>
        <w:tc>
          <w:tcPr>
            <w:tcW w:w="4097" w:type="dxa"/>
            <w:vAlign w:val="center"/>
          </w:tcPr>
          <w:p w14:paraId="75EEDA63">
            <w:pPr>
              <w:spacing w:line="320" w:lineRule="exact"/>
              <w:rPr>
                <w:rFonts w:hint="eastAsia" w:ascii="宋体" w:hAnsi="宋体" w:eastAsia="宋体" w:cs="宋体"/>
                <w:color w:val="auto"/>
                <w:sz w:val="24"/>
                <w:szCs w:val="24"/>
                <w:highlight w:val="none"/>
              </w:rPr>
            </w:pPr>
          </w:p>
        </w:tc>
      </w:tr>
    </w:tbl>
    <w:p w14:paraId="6A8B5BE5">
      <w:pPr>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注：1、投标人应据实、详细填写上述表格，因表述含糊导致的评标风险将由投标人承担。</w:t>
      </w:r>
    </w:p>
    <w:p w14:paraId="494327B6">
      <w:pPr>
        <w:spacing w:line="480" w:lineRule="exact"/>
        <w:ind w:firstLine="480" w:firstLineChars="200"/>
        <w:rPr>
          <w:rFonts w:hint="eastAsia" w:ascii="宋体" w:hAnsi="宋体" w:eastAsia="宋体" w:cs="宋体"/>
          <w:b/>
          <w:bCs/>
          <w:color w:val="auto"/>
          <w:sz w:val="24"/>
          <w:szCs w:val="24"/>
          <w:highlight w:val="none"/>
        </w:rPr>
      </w:pPr>
      <w:r>
        <w:rPr>
          <w:rFonts w:hint="eastAsia" w:ascii="宋体" w:hAnsi="宋体" w:eastAsia="宋体" w:cs="宋体"/>
          <w:color w:val="auto"/>
          <w:sz w:val="24"/>
          <w:szCs w:val="24"/>
          <w:highlight w:val="none"/>
        </w:rPr>
        <w:t>2、若无偏离，在“有无偏离”栏中填写“无”；若有偏离在“有无偏离”栏中填写“有”并在“偏离内容及原因”栏中作出说明。</w:t>
      </w:r>
    </w:p>
    <w:p w14:paraId="0C6233A7">
      <w:pPr>
        <w:spacing w:line="480" w:lineRule="exact"/>
        <w:ind w:firstLine="482" w:firstLineChars="200"/>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3、投标人如不能满足本项目的付款方式，将作无效投标处理。</w:t>
      </w:r>
    </w:p>
    <w:bookmarkEnd w:id="296"/>
    <w:bookmarkEnd w:id="297"/>
    <w:bookmarkEnd w:id="298"/>
    <w:bookmarkEnd w:id="299"/>
    <w:bookmarkEnd w:id="300"/>
    <w:p w14:paraId="7D006DA9">
      <w:pPr>
        <w:pStyle w:val="3"/>
        <w:keepNext w:val="0"/>
        <w:pageBreakBefore/>
        <w:rPr>
          <w:rFonts w:hint="eastAsia" w:ascii="宋体" w:hAnsi="宋体" w:eastAsia="宋体" w:cs="宋体"/>
          <w:color w:val="auto"/>
          <w:highlight w:val="none"/>
        </w:rPr>
      </w:pPr>
      <w:bookmarkStart w:id="331" w:name="_Toc640"/>
      <w:r>
        <w:rPr>
          <w:rFonts w:hint="eastAsia" w:ascii="宋体" w:hAnsi="宋体" w:eastAsia="宋体" w:cs="宋体"/>
          <w:color w:val="auto"/>
          <w:highlight w:val="none"/>
        </w:rPr>
        <w:t>附件1</w:t>
      </w:r>
      <w:r>
        <w:rPr>
          <w:rFonts w:hint="eastAsia" w:ascii="宋体" w:hAnsi="宋体" w:eastAsia="宋体" w:cs="宋体"/>
          <w:color w:val="auto"/>
          <w:highlight w:val="none"/>
          <w:lang w:val="en-US" w:eastAsia="zh-CN"/>
        </w:rPr>
        <w:t>4</w:t>
      </w:r>
      <w:r>
        <w:rPr>
          <w:rFonts w:hint="eastAsia" w:ascii="宋体" w:hAnsi="宋体" w:eastAsia="宋体" w:cs="宋体"/>
          <w:color w:val="auto"/>
          <w:highlight w:val="none"/>
        </w:rPr>
        <w:t xml:space="preserve"> </w:t>
      </w:r>
      <w:r>
        <w:rPr>
          <w:rFonts w:hint="eastAsia" w:ascii="宋体" w:hAnsi="宋体" w:eastAsia="宋体" w:cs="宋体"/>
          <w:color w:val="auto"/>
          <w:highlight w:val="none"/>
          <w:lang w:val="en-US" w:eastAsia="zh-CN"/>
        </w:rPr>
        <w:t>供应商与其他单位存在直接控股、管理关系情况表</w:t>
      </w:r>
      <w:bookmarkEnd w:id="331"/>
    </w:p>
    <w:p w14:paraId="2AA9BE3A">
      <w:pPr>
        <w:ind w:firstLine="420"/>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单位名称：</w:t>
      </w:r>
    </w:p>
    <w:tbl>
      <w:tblPr>
        <w:tblStyle w:val="54"/>
        <w:tblW w:w="1063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430"/>
        <w:gridCol w:w="1704"/>
        <w:gridCol w:w="1506"/>
        <w:gridCol w:w="1580"/>
        <w:gridCol w:w="1440"/>
        <w:gridCol w:w="1711"/>
        <w:gridCol w:w="1268"/>
      </w:tblGrid>
      <w:tr w14:paraId="449ADCB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66" w:hRule="atLeast"/>
          <w:jc w:val="center"/>
        </w:trPr>
        <w:tc>
          <w:tcPr>
            <w:tcW w:w="6220" w:type="dxa"/>
            <w:gridSpan w:val="4"/>
            <w:noWrap w:val="0"/>
            <w:vAlign w:val="center"/>
          </w:tcPr>
          <w:p w14:paraId="2D446BFA">
            <w:pPr>
              <w:widowControl/>
              <w:jc w:val="center"/>
              <w:rPr>
                <w:rFonts w:hint="eastAsia"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t>与</w:t>
            </w:r>
            <w:r>
              <w:rPr>
                <w:rFonts w:hint="eastAsia" w:ascii="宋体" w:hAnsi="宋体" w:eastAsia="宋体" w:cs="宋体"/>
                <w:b/>
                <w:color w:val="auto"/>
                <w:sz w:val="24"/>
                <w:szCs w:val="24"/>
                <w:highlight w:val="none"/>
                <w:shd w:val="clear" w:color="auto" w:fill="FFFFFF"/>
                <w:lang w:val="en-US" w:eastAsia="zh-CN"/>
              </w:rPr>
              <w:t>供应商</w:t>
            </w:r>
            <w:r>
              <w:rPr>
                <w:rFonts w:hint="eastAsia" w:ascii="宋体" w:hAnsi="宋体" w:eastAsia="宋体" w:cs="宋体"/>
                <w:b/>
                <w:color w:val="auto"/>
                <w:sz w:val="24"/>
                <w:szCs w:val="24"/>
                <w:highlight w:val="none"/>
                <w:shd w:val="clear" w:color="auto" w:fill="FFFFFF"/>
              </w:rPr>
              <w:t>存在直接股权关系</w:t>
            </w:r>
          </w:p>
        </w:tc>
        <w:tc>
          <w:tcPr>
            <w:tcW w:w="4419" w:type="dxa"/>
            <w:gridSpan w:val="3"/>
            <w:noWrap w:val="0"/>
            <w:vAlign w:val="center"/>
          </w:tcPr>
          <w:p w14:paraId="30AE71AE">
            <w:pPr>
              <w:widowControl/>
              <w:jc w:val="center"/>
              <w:rPr>
                <w:rFonts w:hint="eastAsia"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t>与</w:t>
            </w:r>
            <w:r>
              <w:rPr>
                <w:rFonts w:hint="eastAsia" w:ascii="宋体" w:hAnsi="宋体" w:eastAsia="宋体" w:cs="宋体"/>
                <w:b/>
                <w:color w:val="auto"/>
                <w:sz w:val="24"/>
                <w:szCs w:val="24"/>
                <w:highlight w:val="none"/>
                <w:shd w:val="clear" w:color="auto" w:fill="FFFFFF"/>
                <w:lang w:val="en-US" w:eastAsia="zh-CN"/>
              </w:rPr>
              <w:t>供应商</w:t>
            </w:r>
            <w:r>
              <w:rPr>
                <w:rFonts w:hint="eastAsia" w:ascii="宋体" w:hAnsi="宋体" w:eastAsia="宋体" w:cs="宋体"/>
                <w:b/>
                <w:color w:val="auto"/>
                <w:sz w:val="24"/>
                <w:szCs w:val="24"/>
                <w:highlight w:val="none"/>
                <w:shd w:val="clear" w:color="auto" w:fill="FFFFFF"/>
              </w:rPr>
              <w:t>存在直接管理关系</w:t>
            </w:r>
          </w:p>
        </w:tc>
      </w:tr>
      <w:tr w14:paraId="59EEFED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68" w:hRule="atLeast"/>
          <w:jc w:val="center"/>
        </w:trPr>
        <w:tc>
          <w:tcPr>
            <w:tcW w:w="1430" w:type="dxa"/>
            <w:noWrap w:val="0"/>
            <w:vAlign w:val="center"/>
          </w:tcPr>
          <w:p w14:paraId="1DEC8DB6">
            <w:pPr>
              <w:widowControl/>
              <w:jc w:val="center"/>
              <w:rPr>
                <w:rFonts w:hint="eastAsia"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t>单位名称</w:t>
            </w:r>
          </w:p>
        </w:tc>
        <w:tc>
          <w:tcPr>
            <w:tcW w:w="1704" w:type="dxa"/>
            <w:noWrap w:val="0"/>
            <w:vAlign w:val="center"/>
          </w:tcPr>
          <w:p w14:paraId="6C56DB34">
            <w:pPr>
              <w:widowControl/>
              <w:jc w:val="center"/>
              <w:rPr>
                <w:rFonts w:hint="eastAsia"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t>是否为大型企业</w:t>
            </w:r>
          </w:p>
          <w:p w14:paraId="7EF7504B">
            <w:pPr>
              <w:widowControl/>
              <w:jc w:val="center"/>
              <w:rPr>
                <w:rFonts w:hint="eastAsia"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t>（填写“是”或 “否”）</w:t>
            </w:r>
          </w:p>
        </w:tc>
        <w:tc>
          <w:tcPr>
            <w:tcW w:w="1506" w:type="dxa"/>
            <w:noWrap w:val="0"/>
          </w:tcPr>
          <w:p w14:paraId="4FCF5D62">
            <w:pPr>
              <w:widowControl/>
              <w:jc w:val="center"/>
              <w:rPr>
                <w:rFonts w:hint="eastAsia"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t>是否直接控股</w:t>
            </w:r>
          </w:p>
          <w:p w14:paraId="6E435137">
            <w:pPr>
              <w:widowControl/>
              <w:jc w:val="center"/>
              <w:rPr>
                <w:rFonts w:hint="eastAsia"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t>（填写“是”或 “否”）</w:t>
            </w:r>
          </w:p>
        </w:tc>
        <w:tc>
          <w:tcPr>
            <w:tcW w:w="1580" w:type="dxa"/>
            <w:noWrap w:val="0"/>
            <w:vAlign w:val="center"/>
          </w:tcPr>
          <w:p w14:paraId="322E5EC1">
            <w:pPr>
              <w:widowControl/>
              <w:jc w:val="center"/>
              <w:rPr>
                <w:rFonts w:hint="eastAsia"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t>直接控股关系情况说明（持股比例等）</w:t>
            </w:r>
          </w:p>
        </w:tc>
        <w:tc>
          <w:tcPr>
            <w:tcW w:w="1440" w:type="dxa"/>
            <w:noWrap w:val="0"/>
            <w:vAlign w:val="center"/>
          </w:tcPr>
          <w:p w14:paraId="1E8878D5">
            <w:pPr>
              <w:widowControl/>
              <w:jc w:val="center"/>
              <w:rPr>
                <w:rFonts w:hint="eastAsia"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t>单位名称</w:t>
            </w:r>
          </w:p>
        </w:tc>
        <w:tc>
          <w:tcPr>
            <w:tcW w:w="1711" w:type="dxa"/>
            <w:noWrap w:val="0"/>
            <w:vAlign w:val="center"/>
          </w:tcPr>
          <w:p w14:paraId="64F32925">
            <w:pPr>
              <w:widowControl/>
              <w:jc w:val="center"/>
              <w:rPr>
                <w:rFonts w:hint="eastAsia"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t>是否为大型企业</w:t>
            </w:r>
          </w:p>
          <w:p w14:paraId="3A51B106">
            <w:pPr>
              <w:widowControl/>
              <w:jc w:val="center"/>
              <w:rPr>
                <w:rFonts w:hint="eastAsia"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t>（填写“是”或 “否”）</w:t>
            </w:r>
          </w:p>
        </w:tc>
        <w:tc>
          <w:tcPr>
            <w:tcW w:w="1268" w:type="dxa"/>
            <w:noWrap w:val="0"/>
            <w:vAlign w:val="center"/>
          </w:tcPr>
          <w:p w14:paraId="3DD790F9">
            <w:pPr>
              <w:widowControl/>
              <w:jc w:val="center"/>
              <w:rPr>
                <w:rFonts w:hint="eastAsia"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t>直接管理关系情况说明</w:t>
            </w:r>
          </w:p>
        </w:tc>
      </w:tr>
      <w:tr w14:paraId="153D9F2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50" w:hRule="atLeast"/>
          <w:jc w:val="center"/>
        </w:trPr>
        <w:tc>
          <w:tcPr>
            <w:tcW w:w="1430" w:type="dxa"/>
            <w:noWrap w:val="0"/>
            <w:vAlign w:val="center"/>
          </w:tcPr>
          <w:p w14:paraId="0A60D955">
            <w:pPr>
              <w:widowControl/>
              <w:jc w:val="center"/>
              <w:rPr>
                <w:rFonts w:hint="eastAsia" w:ascii="宋体" w:hAnsi="宋体" w:eastAsia="宋体" w:cs="宋体"/>
                <w:b/>
                <w:color w:val="auto"/>
                <w:sz w:val="24"/>
                <w:szCs w:val="24"/>
                <w:highlight w:val="none"/>
                <w:shd w:val="clear" w:color="auto" w:fill="FFFFFF"/>
              </w:rPr>
            </w:pPr>
          </w:p>
        </w:tc>
        <w:tc>
          <w:tcPr>
            <w:tcW w:w="1704" w:type="dxa"/>
            <w:noWrap w:val="0"/>
            <w:vAlign w:val="center"/>
          </w:tcPr>
          <w:p w14:paraId="12C1F67F">
            <w:pPr>
              <w:widowControl/>
              <w:jc w:val="center"/>
              <w:rPr>
                <w:rFonts w:hint="eastAsia" w:ascii="宋体" w:hAnsi="宋体" w:eastAsia="宋体" w:cs="宋体"/>
                <w:b/>
                <w:color w:val="auto"/>
                <w:sz w:val="24"/>
                <w:szCs w:val="24"/>
                <w:highlight w:val="none"/>
                <w:shd w:val="clear" w:color="auto" w:fill="FFFFFF"/>
              </w:rPr>
            </w:pPr>
          </w:p>
        </w:tc>
        <w:tc>
          <w:tcPr>
            <w:tcW w:w="1506" w:type="dxa"/>
            <w:noWrap w:val="0"/>
            <w:vAlign w:val="center"/>
          </w:tcPr>
          <w:p w14:paraId="1422547A">
            <w:pPr>
              <w:widowControl/>
              <w:jc w:val="center"/>
              <w:rPr>
                <w:rFonts w:hint="eastAsia" w:ascii="宋体" w:hAnsi="宋体" w:eastAsia="宋体" w:cs="宋体"/>
                <w:b/>
                <w:color w:val="auto"/>
                <w:sz w:val="24"/>
                <w:szCs w:val="24"/>
                <w:highlight w:val="none"/>
                <w:shd w:val="clear" w:color="auto" w:fill="FFFFFF"/>
              </w:rPr>
            </w:pPr>
          </w:p>
        </w:tc>
        <w:tc>
          <w:tcPr>
            <w:tcW w:w="1580" w:type="dxa"/>
            <w:noWrap w:val="0"/>
            <w:vAlign w:val="center"/>
          </w:tcPr>
          <w:p w14:paraId="135892B9">
            <w:pPr>
              <w:widowControl/>
              <w:jc w:val="center"/>
              <w:rPr>
                <w:rFonts w:hint="eastAsia" w:ascii="宋体" w:hAnsi="宋体" w:eastAsia="宋体" w:cs="宋体"/>
                <w:b/>
                <w:color w:val="auto"/>
                <w:sz w:val="24"/>
                <w:szCs w:val="24"/>
                <w:highlight w:val="none"/>
                <w:shd w:val="clear" w:color="auto" w:fill="FFFFFF"/>
              </w:rPr>
            </w:pPr>
          </w:p>
        </w:tc>
        <w:tc>
          <w:tcPr>
            <w:tcW w:w="1440" w:type="dxa"/>
            <w:noWrap w:val="0"/>
            <w:vAlign w:val="center"/>
          </w:tcPr>
          <w:p w14:paraId="4D349CBA">
            <w:pPr>
              <w:widowControl/>
              <w:jc w:val="center"/>
              <w:rPr>
                <w:rFonts w:hint="eastAsia" w:ascii="宋体" w:hAnsi="宋体" w:eastAsia="宋体" w:cs="宋体"/>
                <w:b/>
                <w:color w:val="auto"/>
                <w:sz w:val="24"/>
                <w:szCs w:val="24"/>
                <w:highlight w:val="none"/>
                <w:shd w:val="clear" w:color="auto" w:fill="FFFFFF"/>
              </w:rPr>
            </w:pPr>
          </w:p>
        </w:tc>
        <w:tc>
          <w:tcPr>
            <w:tcW w:w="1711" w:type="dxa"/>
            <w:noWrap w:val="0"/>
            <w:vAlign w:val="center"/>
          </w:tcPr>
          <w:p w14:paraId="07A00A92">
            <w:pPr>
              <w:widowControl/>
              <w:jc w:val="center"/>
              <w:rPr>
                <w:rFonts w:hint="eastAsia" w:ascii="宋体" w:hAnsi="宋体" w:eastAsia="宋体" w:cs="宋体"/>
                <w:b/>
                <w:color w:val="auto"/>
                <w:sz w:val="24"/>
                <w:szCs w:val="24"/>
                <w:highlight w:val="none"/>
                <w:shd w:val="clear" w:color="auto" w:fill="FFFFFF"/>
              </w:rPr>
            </w:pPr>
          </w:p>
        </w:tc>
        <w:tc>
          <w:tcPr>
            <w:tcW w:w="1268" w:type="dxa"/>
            <w:noWrap w:val="0"/>
            <w:vAlign w:val="center"/>
          </w:tcPr>
          <w:p w14:paraId="2B077A88">
            <w:pPr>
              <w:widowControl/>
              <w:jc w:val="center"/>
              <w:rPr>
                <w:rFonts w:hint="eastAsia" w:ascii="宋体" w:hAnsi="宋体" w:eastAsia="宋体" w:cs="宋体"/>
                <w:b/>
                <w:color w:val="auto"/>
                <w:sz w:val="24"/>
                <w:szCs w:val="24"/>
                <w:highlight w:val="none"/>
                <w:shd w:val="clear" w:color="auto" w:fill="FFFFFF"/>
              </w:rPr>
            </w:pPr>
          </w:p>
        </w:tc>
      </w:tr>
      <w:tr w14:paraId="4AD0214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50" w:hRule="atLeast"/>
          <w:jc w:val="center"/>
        </w:trPr>
        <w:tc>
          <w:tcPr>
            <w:tcW w:w="1430" w:type="dxa"/>
            <w:noWrap w:val="0"/>
            <w:vAlign w:val="center"/>
          </w:tcPr>
          <w:p w14:paraId="56CB8BDA">
            <w:pPr>
              <w:widowControl/>
              <w:jc w:val="center"/>
              <w:rPr>
                <w:rFonts w:hint="eastAsia" w:ascii="宋体" w:hAnsi="宋体" w:eastAsia="宋体" w:cs="宋体"/>
                <w:b/>
                <w:color w:val="auto"/>
                <w:sz w:val="24"/>
                <w:szCs w:val="24"/>
                <w:highlight w:val="none"/>
                <w:shd w:val="clear" w:color="auto" w:fill="FFFFFF"/>
              </w:rPr>
            </w:pPr>
          </w:p>
        </w:tc>
        <w:tc>
          <w:tcPr>
            <w:tcW w:w="1704" w:type="dxa"/>
            <w:noWrap w:val="0"/>
            <w:vAlign w:val="center"/>
          </w:tcPr>
          <w:p w14:paraId="57466C2A">
            <w:pPr>
              <w:widowControl/>
              <w:jc w:val="center"/>
              <w:rPr>
                <w:rFonts w:hint="eastAsia" w:ascii="宋体" w:hAnsi="宋体" w:eastAsia="宋体" w:cs="宋体"/>
                <w:b/>
                <w:color w:val="auto"/>
                <w:sz w:val="24"/>
                <w:szCs w:val="24"/>
                <w:highlight w:val="none"/>
                <w:shd w:val="clear" w:color="auto" w:fill="FFFFFF"/>
              </w:rPr>
            </w:pPr>
          </w:p>
        </w:tc>
        <w:tc>
          <w:tcPr>
            <w:tcW w:w="1506" w:type="dxa"/>
            <w:noWrap w:val="0"/>
            <w:vAlign w:val="center"/>
          </w:tcPr>
          <w:p w14:paraId="6C4807CA">
            <w:pPr>
              <w:widowControl/>
              <w:jc w:val="center"/>
              <w:rPr>
                <w:rFonts w:hint="eastAsia" w:ascii="宋体" w:hAnsi="宋体" w:eastAsia="宋体" w:cs="宋体"/>
                <w:b/>
                <w:color w:val="auto"/>
                <w:sz w:val="24"/>
                <w:szCs w:val="24"/>
                <w:highlight w:val="none"/>
                <w:shd w:val="clear" w:color="auto" w:fill="FFFFFF"/>
              </w:rPr>
            </w:pPr>
          </w:p>
        </w:tc>
        <w:tc>
          <w:tcPr>
            <w:tcW w:w="1580" w:type="dxa"/>
            <w:noWrap w:val="0"/>
            <w:vAlign w:val="center"/>
          </w:tcPr>
          <w:p w14:paraId="70CFFC09">
            <w:pPr>
              <w:widowControl/>
              <w:jc w:val="center"/>
              <w:rPr>
                <w:rFonts w:hint="eastAsia" w:ascii="宋体" w:hAnsi="宋体" w:eastAsia="宋体" w:cs="宋体"/>
                <w:b/>
                <w:color w:val="auto"/>
                <w:sz w:val="24"/>
                <w:szCs w:val="24"/>
                <w:highlight w:val="none"/>
                <w:shd w:val="clear" w:color="auto" w:fill="FFFFFF"/>
              </w:rPr>
            </w:pPr>
          </w:p>
        </w:tc>
        <w:tc>
          <w:tcPr>
            <w:tcW w:w="1440" w:type="dxa"/>
            <w:noWrap w:val="0"/>
            <w:vAlign w:val="center"/>
          </w:tcPr>
          <w:p w14:paraId="68EBD95E">
            <w:pPr>
              <w:widowControl/>
              <w:jc w:val="center"/>
              <w:rPr>
                <w:rFonts w:hint="eastAsia" w:ascii="宋体" w:hAnsi="宋体" w:eastAsia="宋体" w:cs="宋体"/>
                <w:b/>
                <w:color w:val="auto"/>
                <w:sz w:val="24"/>
                <w:szCs w:val="24"/>
                <w:highlight w:val="none"/>
                <w:shd w:val="clear" w:color="auto" w:fill="FFFFFF"/>
              </w:rPr>
            </w:pPr>
          </w:p>
        </w:tc>
        <w:tc>
          <w:tcPr>
            <w:tcW w:w="1711" w:type="dxa"/>
            <w:noWrap w:val="0"/>
            <w:vAlign w:val="center"/>
          </w:tcPr>
          <w:p w14:paraId="0459ECEC">
            <w:pPr>
              <w:widowControl/>
              <w:jc w:val="center"/>
              <w:rPr>
                <w:rFonts w:hint="eastAsia" w:ascii="宋体" w:hAnsi="宋体" w:eastAsia="宋体" w:cs="宋体"/>
                <w:b/>
                <w:color w:val="auto"/>
                <w:sz w:val="24"/>
                <w:szCs w:val="24"/>
                <w:highlight w:val="none"/>
                <w:shd w:val="clear" w:color="auto" w:fill="FFFFFF"/>
              </w:rPr>
            </w:pPr>
          </w:p>
        </w:tc>
        <w:tc>
          <w:tcPr>
            <w:tcW w:w="1268" w:type="dxa"/>
            <w:noWrap w:val="0"/>
            <w:vAlign w:val="center"/>
          </w:tcPr>
          <w:p w14:paraId="748D13B6">
            <w:pPr>
              <w:widowControl/>
              <w:jc w:val="center"/>
              <w:rPr>
                <w:rFonts w:hint="eastAsia" w:ascii="宋体" w:hAnsi="宋体" w:eastAsia="宋体" w:cs="宋体"/>
                <w:b/>
                <w:color w:val="auto"/>
                <w:sz w:val="24"/>
                <w:szCs w:val="24"/>
                <w:highlight w:val="none"/>
                <w:shd w:val="clear" w:color="auto" w:fill="FFFFFF"/>
              </w:rPr>
            </w:pPr>
          </w:p>
        </w:tc>
      </w:tr>
      <w:tr w14:paraId="413CF29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50" w:hRule="atLeast"/>
          <w:jc w:val="center"/>
        </w:trPr>
        <w:tc>
          <w:tcPr>
            <w:tcW w:w="1430" w:type="dxa"/>
            <w:noWrap w:val="0"/>
            <w:vAlign w:val="center"/>
          </w:tcPr>
          <w:p w14:paraId="67000081">
            <w:pPr>
              <w:widowControl/>
              <w:jc w:val="center"/>
              <w:rPr>
                <w:rFonts w:hint="eastAsia" w:ascii="宋体" w:hAnsi="宋体" w:eastAsia="宋体" w:cs="宋体"/>
                <w:b/>
                <w:color w:val="auto"/>
                <w:sz w:val="24"/>
                <w:szCs w:val="24"/>
                <w:highlight w:val="none"/>
                <w:shd w:val="clear" w:color="auto" w:fill="FFFFFF"/>
              </w:rPr>
            </w:pPr>
          </w:p>
        </w:tc>
        <w:tc>
          <w:tcPr>
            <w:tcW w:w="1704" w:type="dxa"/>
            <w:noWrap w:val="0"/>
            <w:vAlign w:val="center"/>
          </w:tcPr>
          <w:p w14:paraId="177DE3EE">
            <w:pPr>
              <w:widowControl/>
              <w:jc w:val="center"/>
              <w:rPr>
                <w:rFonts w:hint="eastAsia" w:ascii="宋体" w:hAnsi="宋体" w:eastAsia="宋体" w:cs="宋体"/>
                <w:b/>
                <w:color w:val="auto"/>
                <w:sz w:val="24"/>
                <w:szCs w:val="24"/>
                <w:highlight w:val="none"/>
                <w:shd w:val="clear" w:color="auto" w:fill="FFFFFF"/>
              </w:rPr>
            </w:pPr>
          </w:p>
        </w:tc>
        <w:tc>
          <w:tcPr>
            <w:tcW w:w="1506" w:type="dxa"/>
            <w:noWrap w:val="0"/>
            <w:vAlign w:val="center"/>
          </w:tcPr>
          <w:p w14:paraId="6A835D8E">
            <w:pPr>
              <w:widowControl/>
              <w:jc w:val="center"/>
              <w:rPr>
                <w:rFonts w:hint="eastAsia" w:ascii="宋体" w:hAnsi="宋体" w:eastAsia="宋体" w:cs="宋体"/>
                <w:b/>
                <w:color w:val="auto"/>
                <w:sz w:val="24"/>
                <w:szCs w:val="24"/>
                <w:highlight w:val="none"/>
                <w:shd w:val="clear" w:color="auto" w:fill="FFFFFF"/>
              </w:rPr>
            </w:pPr>
          </w:p>
        </w:tc>
        <w:tc>
          <w:tcPr>
            <w:tcW w:w="1580" w:type="dxa"/>
            <w:noWrap w:val="0"/>
            <w:vAlign w:val="center"/>
          </w:tcPr>
          <w:p w14:paraId="6532B5E2">
            <w:pPr>
              <w:widowControl/>
              <w:jc w:val="center"/>
              <w:rPr>
                <w:rFonts w:hint="eastAsia" w:ascii="宋体" w:hAnsi="宋体" w:eastAsia="宋体" w:cs="宋体"/>
                <w:b/>
                <w:color w:val="auto"/>
                <w:sz w:val="24"/>
                <w:szCs w:val="24"/>
                <w:highlight w:val="none"/>
                <w:shd w:val="clear" w:color="auto" w:fill="FFFFFF"/>
              </w:rPr>
            </w:pPr>
          </w:p>
        </w:tc>
        <w:tc>
          <w:tcPr>
            <w:tcW w:w="1440" w:type="dxa"/>
            <w:noWrap w:val="0"/>
            <w:vAlign w:val="center"/>
          </w:tcPr>
          <w:p w14:paraId="361AFA08">
            <w:pPr>
              <w:widowControl/>
              <w:jc w:val="center"/>
              <w:rPr>
                <w:rFonts w:hint="eastAsia" w:ascii="宋体" w:hAnsi="宋体" w:eastAsia="宋体" w:cs="宋体"/>
                <w:b/>
                <w:color w:val="auto"/>
                <w:sz w:val="24"/>
                <w:szCs w:val="24"/>
                <w:highlight w:val="none"/>
                <w:shd w:val="clear" w:color="auto" w:fill="FFFFFF"/>
              </w:rPr>
            </w:pPr>
          </w:p>
        </w:tc>
        <w:tc>
          <w:tcPr>
            <w:tcW w:w="1711" w:type="dxa"/>
            <w:noWrap w:val="0"/>
            <w:vAlign w:val="center"/>
          </w:tcPr>
          <w:p w14:paraId="3EE64D2A">
            <w:pPr>
              <w:widowControl/>
              <w:jc w:val="center"/>
              <w:rPr>
                <w:rFonts w:hint="eastAsia" w:ascii="宋体" w:hAnsi="宋体" w:eastAsia="宋体" w:cs="宋体"/>
                <w:b/>
                <w:color w:val="auto"/>
                <w:sz w:val="24"/>
                <w:szCs w:val="24"/>
                <w:highlight w:val="none"/>
                <w:shd w:val="clear" w:color="auto" w:fill="FFFFFF"/>
              </w:rPr>
            </w:pPr>
          </w:p>
        </w:tc>
        <w:tc>
          <w:tcPr>
            <w:tcW w:w="1268" w:type="dxa"/>
            <w:noWrap w:val="0"/>
            <w:vAlign w:val="center"/>
          </w:tcPr>
          <w:p w14:paraId="0DB73A0D">
            <w:pPr>
              <w:widowControl/>
              <w:jc w:val="center"/>
              <w:rPr>
                <w:rFonts w:hint="eastAsia" w:ascii="宋体" w:hAnsi="宋体" w:eastAsia="宋体" w:cs="宋体"/>
                <w:b/>
                <w:color w:val="auto"/>
                <w:sz w:val="24"/>
                <w:szCs w:val="24"/>
                <w:highlight w:val="none"/>
                <w:shd w:val="clear" w:color="auto" w:fill="FFFFFF"/>
              </w:rPr>
            </w:pPr>
          </w:p>
        </w:tc>
      </w:tr>
      <w:tr w14:paraId="78FC7AF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50" w:hRule="atLeast"/>
          <w:jc w:val="center"/>
        </w:trPr>
        <w:tc>
          <w:tcPr>
            <w:tcW w:w="1430" w:type="dxa"/>
            <w:noWrap w:val="0"/>
            <w:vAlign w:val="center"/>
          </w:tcPr>
          <w:p w14:paraId="678C8C07">
            <w:pPr>
              <w:widowControl/>
              <w:jc w:val="center"/>
              <w:rPr>
                <w:rFonts w:hint="eastAsia" w:ascii="宋体" w:hAnsi="宋体" w:eastAsia="宋体" w:cs="宋体"/>
                <w:b/>
                <w:color w:val="auto"/>
                <w:sz w:val="24"/>
                <w:szCs w:val="24"/>
                <w:highlight w:val="none"/>
                <w:shd w:val="clear" w:color="auto" w:fill="FFFFFF"/>
              </w:rPr>
            </w:pPr>
          </w:p>
        </w:tc>
        <w:tc>
          <w:tcPr>
            <w:tcW w:w="1704" w:type="dxa"/>
            <w:noWrap w:val="0"/>
            <w:vAlign w:val="center"/>
          </w:tcPr>
          <w:p w14:paraId="6881B783">
            <w:pPr>
              <w:widowControl/>
              <w:jc w:val="center"/>
              <w:rPr>
                <w:rFonts w:hint="eastAsia" w:ascii="宋体" w:hAnsi="宋体" w:eastAsia="宋体" w:cs="宋体"/>
                <w:b/>
                <w:color w:val="auto"/>
                <w:sz w:val="24"/>
                <w:szCs w:val="24"/>
                <w:highlight w:val="none"/>
                <w:shd w:val="clear" w:color="auto" w:fill="FFFFFF"/>
              </w:rPr>
            </w:pPr>
          </w:p>
        </w:tc>
        <w:tc>
          <w:tcPr>
            <w:tcW w:w="1506" w:type="dxa"/>
            <w:noWrap w:val="0"/>
            <w:vAlign w:val="center"/>
          </w:tcPr>
          <w:p w14:paraId="65FA65BE">
            <w:pPr>
              <w:widowControl/>
              <w:jc w:val="center"/>
              <w:rPr>
                <w:rFonts w:hint="eastAsia" w:ascii="宋体" w:hAnsi="宋体" w:eastAsia="宋体" w:cs="宋体"/>
                <w:b/>
                <w:color w:val="auto"/>
                <w:sz w:val="24"/>
                <w:szCs w:val="24"/>
                <w:highlight w:val="none"/>
                <w:shd w:val="clear" w:color="auto" w:fill="FFFFFF"/>
              </w:rPr>
            </w:pPr>
          </w:p>
        </w:tc>
        <w:tc>
          <w:tcPr>
            <w:tcW w:w="1580" w:type="dxa"/>
            <w:noWrap w:val="0"/>
            <w:vAlign w:val="center"/>
          </w:tcPr>
          <w:p w14:paraId="7978DAFD">
            <w:pPr>
              <w:widowControl/>
              <w:jc w:val="center"/>
              <w:rPr>
                <w:rFonts w:hint="eastAsia" w:ascii="宋体" w:hAnsi="宋体" w:eastAsia="宋体" w:cs="宋体"/>
                <w:b/>
                <w:color w:val="auto"/>
                <w:sz w:val="24"/>
                <w:szCs w:val="24"/>
                <w:highlight w:val="none"/>
                <w:shd w:val="clear" w:color="auto" w:fill="FFFFFF"/>
              </w:rPr>
            </w:pPr>
          </w:p>
        </w:tc>
        <w:tc>
          <w:tcPr>
            <w:tcW w:w="1440" w:type="dxa"/>
            <w:noWrap w:val="0"/>
            <w:vAlign w:val="center"/>
          </w:tcPr>
          <w:p w14:paraId="4433DFDB">
            <w:pPr>
              <w:widowControl/>
              <w:jc w:val="center"/>
              <w:rPr>
                <w:rFonts w:hint="eastAsia" w:ascii="宋体" w:hAnsi="宋体" w:eastAsia="宋体" w:cs="宋体"/>
                <w:b/>
                <w:color w:val="auto"/>
                <w:sz w:val="24"/>
                <w:szCs w:val="24"/>
                <w:highlight w:val="none"/>
                <w:shd w:val="clear" w:color="auto" w:fill="FFFFFF"/>
              </w:rPr>
            </w:pPr>
          </w:p>
        </w:tc>
        <w:tc>
          <w:tcPr>
            <w:tcW w:w="1711" w:type="dxa"/>
            <w:noWrap w:val="0"/>
            <w:vAlign w:val="center"/>
          </w:tcPr>
          <w:p w14:paraId="532A3E37">
            <w:pPr>
              <w:widowControl/>
              <w:jc w:val="center"/>
              <w:rPr>
                <w:rFonts w:hint="eastAsia" w:ascii="宋体" w:hAnsi="宋体" w:eastAsia="宋体" w:cs="宋体"/>
                <w:b/>
                <w:color w:val="auto"/>
                <w:sz w:val="24"/>
                <w:szCs w:val="24"/>
                <w:highlight w:val="none"/>
                <w:shd w:val="clear" w:color="auto" w:fill="FFFFFF"/>
              </w:rPr>
            </w:pPr>
          </w:p>
        </w:tc>
        <w:tc>
          <w:tcPr>
            <w:tcW w:w="1268" w:type="dxa"/>
            <w:noWrap w:val="0"/>
            <w:vAlign w:val="center"/>
          </w:tcPr>
          <w:p w14:paraId="339C34CF">
            <w:pPr>
              <w:widowControl/>
              <w:jc w:val="center"/>
              <w:rPr>
                <w:rFonts w:hint="eastAsia" w:ascii="宋体" w:hAnsi="宋体" w:eastAsia="宋体" w:cs="宋体"/>
                <w:b/>
                <w:color w:val="auto"/>
                <w:sz w:val="24"/>
                <w:szCs w:val="24"/>
                <w:highlight w:val="none"/>
                <w:shd w:val="clear" w:color="auto" w:fill="FFFFFF"/>
              </w:rPr>
            </w:pPr>
          </w:p>
        </w:tc>
      </w:tr>
      <w:tr w14:paraId="62CAA47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50" w:hRule="atLeast"/>
          <w:jc w:val="center"/>
        </w:trPr>
        <w:tc>
          <w:tcPr>
            <w:tcW w:w="1430" w:type="dxa"/>
            <w:noWrap w:val="0"/>
            <w:vAlign w:val="center"/>
          </w:tcPr>
          <w:p w14:paraId="281F1956">
            <w:pPr>
              <w:widowControl/>
              <w:jc w:val="center"/>
              <w:rPr>
                <w:rFonts w:hint="eastAsia" w:ascii="宋体" w:hAnsi="宋体" w:eastAsia="宋体" w:cs="宋体"/>
                <w:b/>
                <w:color w:val="auto"/>
                <w:sz w:val="24"/>
                <w:szCs w:val="24"/>
                <w:highlight w:val="none"/>
                <w:shd w:val="clear" w:color="auto" w:fill="FFFFFF"/>
              </w:rPr>
            </w:pPr>
          </w:p>
        </w:tc>
        <w:tc>
          <w:tcPr>
            <w:tcW w:w="1704" w:type="dxa"/>
            <w:noWrap w:val="0"/>
            <w:vAlign w:val="center"/>
          </w:tcPr>
          <w:p w14:paraId="16991762">
            <w:pPr>
              <w:widowControl/>
              <w:jc w:val="center"/>
              <w:rPr>
                <w:rFonts w:hint="eastAsia" w:ascii="宋体" w:hAnsi="宋体" w:eastAsia="宋体" w:cs="宋体"/>
                <w:b/>
                <w:color w:val="auto"/>
                <w:sz w:val="24"/>
                <w:szCs w:val="24"/>
                <w:highlight w:val="none"/>
                <w:shd w:val="clear" w:color="auto" w:fill="FFFFFF"/>
              </w:rPr>
            </w:pPr>
          </w:p>
        </w:tc>
        <w:tc>
          <w:tcPr>
            <w:tcW w:w="1506" w:type="dxa"/>
            <w:noWrap w:val="0"/>
            <w:vAlign w:val="center"/>
          </w:tcPr>
          <w:p w14:paraId="6B4FA991">
            <w:pPr>
              <w:widowControl/>
              <w:jc w:val="center"/>
              <w:rPr>
                <w:rFonts w:hint="eastAsia" w:ascii="宋体" w:hAnsi="宋体" w:eastAsia="宋体" w:cs="宋体"/>
                <w:b/>
                <w:color w:val="auto"/>
                <w:sz w:val="24"/>
                <w:szCs w:val="24"/>
                <w:highlight w:val="none"/>
                <w:shd w:val="clear" w:color="auto" w:fill="FFFFFF"/>
              </w:rPr>
            </w:pPr>
          </w:p>
        </w:tc>
        <w:tc>
          <w:tcPr>
            <w:tcW w:w="1580" w:type="dxa"/>
            <w:noWrap w:val="0"/>
            <w:vAlign w:val="center"/>
          </w:tcPr>
          <w:p w14:paraId="2228B728">
            <w:pPr>
              <w:widowControl/>
              <w:jc w:val="center"/>
              <w:rPr>
                <w:rFonts w:hint="eastAsia" w:ascii="宋体" w:hAnsi="宋体" w:eastAsia="宋体" w:cs="宋体"/>
                <w:b/>
                <w:color w:val="auto"/>
                <w:sz w:val="24"/>
                <w:szCs w:val="24"/>
                <w:highlight w:val="none"/>
                <w:shd w:val="clear" w:color="auto" w:fill="FFFFFF"/>
              </w:rPr>
            </w:pPr>
          </w:p>
        </w:tc>
        <w:tc>
          <w:tcPr>
            <w:tcW w:w="1440" w:type="dxa"/>
            <w:noWrap w:val="0"/>
            <w:vAlign w:val="center"/>
          </w:tcPr>
          <w:p w14:paraId="6F99C692">
            <w:pPr>
              <w:widowControl/>
              <w:jc w:val="center"/>
              <w:rPr>
                <w:rFonts w:hint="eastAsia" w:ascii="宋体" w:hAnsi="宋体" w:eastAsia="宋体" w:cs="宋体"/>
                <w:b/>
                <w:color w:val="auto"/>
                <w:sz w:val="24"/>
                <w:szCs w:val="24"/>
                <w:highlight w:val="none"/>
                <w:shd w:val="clear" w:color="auto" w:fill="FFFFFF"/>
              </w:rPr>
            </w:pPr>
          </w:p>
        </w:tc>
        <w:tc>
          <w:tcPr>
            <w:tcW w:w="1711" w:type="dxa"/>
            <w:noWrap w:val="0"/>
            <w:vAlign w:val="center"/>
          </w:tcPr>
          <w:p w14:paraId="0A1102E4">
            <w:pPr>
              <w:widowControl/>
              <w:jc w:val="center"/>
              <w:rPr>
                <w:rFonts w:hint="eastAsia" w:ascii="宋体" w:hAnsi="宋体" w:eastAsia="宋体" w:cs="宋体"/>
                <w:b/>
                <w:color w:val="auto"/>
                <w:sz w:val="24"/>
                <w:szCs w:val="24"/>
                <w:highlight w:val="none"/>
                <w:shd w:val="clear" w:color="auto" w:fill="FFFFFF"/>
              </w:rPr>
            </w:pPr>
          </w:p>
        </w:tc>
        <w:tc>
          <w:tcPr>
            <w:tcW w:w="1268" w:type="dxa"/>
            <w:noWrap w:val="0"/>
            <w:vAlign w:val="center"/>
          </w:tcPr>
          <w:p w14:paraId="649D0E7C">
            <w:pPr>
              <w:widowControl/>
              <w:jc w:val="center"/>
              <w:rPr>
                <w:rFonts w:hint="eastAsia" w:ascii="宋体" w:hAnsi="宋体" w:eastAsia="宋体" w:cs="宋体"/>
                <w:b/>
                <w:color w:val="auto"/>
                <w:sz w:val="24"/>
                <w:szCs w:val="24"/>
                <w:highlight w:val="none"/>
                <w:shd w:val="clear" w:color="auto" w:fill="FFFFFF"/>
              </w:rPr>
            </w:pPr>
          </w:p>
        </w:tc>
      </w:tr>
      <w:tr w14:paraId="361FA29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50" w:hRule="atLeast"/>
          <w:jc w:val="center"/>
        </w:trPr>
        <w:tc>
          <w:tcPr>
            <w:tcW w:w="1430" w:type="dxa"/>
            <w:noWrap w:val="0"/>
            <w:vAlign w:val="center"/>
          </w:tcPr>
          <w:p w14:paraId="641B1810">
            <w:pPr>
              <w:widowControl/>
              <w:jc w:val="center"/>
              <w:rPr>
                <w:rFonts w:hint="eastAsia" w:ascii="宋体" w:hAnsi="宋体" w:eastAsia="宋体" w:cs="宋体"/>
                <w:b/>
                <w:color w:val="auto"/>
                <w:sz w:val="24"/>
                <w:szCs w:val="24"/>
                <w:highlight w:val="none"/>
                <w:shd w:val="clear" w:color="auto" w:fill="FFFFFF"/>
              </w:rPr>
            </w:pPr>
          </w:p>
        </w:tc>
        <w:tc>
          <w:tcPr>
            <w:tcW w:w="1704" w:type="dxa"/>
            <w:noWrap w:val="0"/>
            <w:vAlign w:val="center"/>
          </w:tcPr>
          <w:p w14:paraId="3D46355E">
            <w:pPr>
              <w:widowControl/>
              <w:jc w:val="center"/>
              <w:rPr>
                <w:rFonts w:hint="eastAsia" w:ascii="宋体" w:hAnsi="宋体" w:eastAsia="宋体" w:cs="宋体"/>
                <w:b/>
                <w:color w:val="auto"/>
                <w:sz w:val="24"/>
                <w:szCs w:val="24"/>
                <w:highlight w:val="none"/>
                <w:shd w:val="clear" w:color="auto" w:fill="FFFFFF"/>
              </w:rPr>
            </w:pPr>
          </w:p>
        </w:tc>
        <w:tc>
          <w:tcPr>
            <w:tcW w:w="1506" w:type="dxa"/>
            <w:noWrap w:val="0"/>
            <w:vAlign w:val="center"/>
          </w:tcPr>
          <w:p w14:paraId="67773C16">
            <w:pPr>
              <w:widowControl/>
              <w:jc w:val="center"/>
              <w:rPr>
                <w:rFonts w:hint="eastAsia" w:ascii="宋体" w:hAnsi="宋体" w:eastAsia="宋体" w:cs="宋体"/>
                <w:b/>
                <w:color w:val="auto"/>
                <w:sz w:val="24"/>
                <w:szCs w:val="24"/>
                <w:highlight w:val="none"/>
                <w:shd w:val="clear" w:color="auto" w:fill="FFFFFF"/>
              </w:rPr>
            </w:pPr>
          </w:p>
        </w:tc>
        <w:tc>
          <w:tcPr>
            <w:tcW w:w="1580" w:type="dxa"/>
            <w:noWrap w:val="0"/>
            <w:vAlign w:val="center"/>
          </w:tcPr>
          <w:p w14:paraId="74D0EAE5">
            <w:pPr>
              <w:widowControl/>
              <w:jc w:val="center"/>
              <w:rPr>
                <w:rFonts w:hint="eastAsia" w:ascii="宋体" w:hAnsi="宋体" w:eastAsia="宋体" w:cs="宋体"/>
                <w:b/>
                <w:color w:val="auto"/>
                <w:sz w:val="24"/>
                <w:szCs w:val="24"/>
                <w:highlight w:val="none"/>
                <w:shd w:val="clear" w:color="auto" w:fill="FFFFFF"/>
              </w:rPr>
            </w:pPr>
          </w:p>
        </w:tc>
        <w:tc>
          <w:tcPr>
            <w:tcW w:w="1440" w:type="dxa"/>
            <w:noWrap w:val="0"/>
            <w:vAlign w:val="center"/>
          </w:tcPr>
          <w:p w14:paraId="33470160">
            <w:pPr>
              <w:widowControl/>
              <w:jc w:val="center"/>
              <w:rPr>
                <w:rFonts w:hint="eastAsia" w:ascii="宋体" w:hAnsi="宋体" w:eastAsia="宋体" w:cs="宋体"/>
                <w:b/>
                <w:color w:val="auto"/>
                <w:sz w:val="24"/>
                <w:szCs w:val="24"/>
                <w:highlight w:val="none"/>
                <w:shd w:val="clear" w:color="auto" w:fill="FFFFFF"/>
              </w:rPr>
            </w:pPr>
          </w:p>
        </w:tc>
        <w:tc>
          <w:tcPr>
            <w:tcW w:w="1711" w:type="dxa"/>
            <w:noWrap w:val="0"/>
            <w:vAlign w:val="center"/>
          </w:tcPr>
          <w:p w14:paraId="0C9F4685">
            <w:pPr>
              <w:widowControl/>
              <w:jc w:val="center"/>
              <w:rPr>
                <w:rFonts w:hint="eastAsia" w:ascii="宋体" w:hAnsi="宋体" w:eastAsia="宋体" w:cs="宋体"/>
                <w:b/>
                <w:color w:val="auto"/>
                <w:sz w:val="24"/>
                <w:szCs w:val="24"/>
                <w:highlight w:val="none"/>
                <w:shd w:val="clear" w:color="auto" w:fill="FFFFFF"/>
              </w:rPr>
            </w:pPr>
          </w:p>
        </w:tc>
        <w:tc>
          <w:tcPr>
            <w:tcW w:w="1268" w:type="dxa"/>
            <w:noWrap w:val="0"/>
            <w:vAlign w:val="center"/>
          </w:tcPr>
          <w:p w14:paraId="7672F679">
            <w:pPr>
              <w:widowControl/>
              <w:jc w:val="center"/>
              <w:rPr>
                <w:rFonts w:hint="eastAsia" w:ascii="宋体" w:hAnsi="宋体" w:eastAsia="宋体" w:cs="宋体"/>
                <w:b/>
                <w:color w:val="auto"/>
                <w:sz w:val="24"/>
                <w:szCs w:val="24"/>
                <w:highlight w:val="none"/>
                <w:shd w:val="clear" w:color="auto" w:fill="FFFFFF"/>
              </w:rPr>
            </w:pPr>
          </w:p>
        </w:tc>
      </w:tr>
    </w:tbl>
    <w:p w14:paraId="5B175555">
      <w:pPr>
        <w:spacing w:line="360" w:lineRule="auto"/>
        <w:ind w:firstLine="482"/>
        <w:jc w:val="left"/>
        <w:rPr>
          <w:rFonts w:hint="eastAsia"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t>注：1、本表仅须填写与投标人存在直接股权、管理关系的企业情况。投标人应按上表要求据实填写，如填写“无”或不填写，均视为投标人声明不存在有关情形。</w:t>
      </w:r>
    </w:p>
    <w:p w14:paraId="29074951">
      <w:pPr>
        <w:spacing w:line="360" w:lineRule="auto"/>
        <w:ind w:firstLine="482"/>
        <w:jc w:val="left"/>
        <w:rPr>
          <w:rFonts w:hint="eastAsia"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t>2、其中“直接控股”是指投标人与大型企业之间存在直接投资并控股（非普通持股）的关系。</w:t>
      </w:r>
    </w:p>
    <w:p w14:paraId="54701CC2">
      <w:pPr>
        <w:pStyle w:val="19"/>
        <w:spacing w:before="35" w:line="440" w:lineRule="exact"/>
        <w:ind w:left="4060" w:right="2166" w:firstLine="358" w:firstLineChars="152"/>
        <w:rPr>
          <w:rFonts w:hint="eastAsia" w:ascii="宋体" w:hAnsi="宋体" w:eastAsia="宋体" w:cs="宋体"/>
          <w:color w:val="auto"/>
          <w:spacing w:val="-2"/>
          <w:sz w:val="24"/>
          <w:szCs w:val="24"/>
          <w:highlight w:val="none"/>
        </w:rPr>
      </w:pPr>
      <w:r>
        <w:rPr>
          <w:rFonts w:hint="eastAsia" w:ascii="宋体" w:hAnsi="宋体" w:eastAsia="宋体" w:cs="宋体"/>
          <w:color w:val="auto"/>
          <w:spacing w:val="-2"/>
          <w:sz w:val="24"/>
          <w:szCs w:val="24"/>
          <w:highlight w:val="none"/>
        </w:rPr>
        <w:t>企业名称（加盖CA电子公章）：</w:t>
      </w:r>
    </w:p>
    <w:p w14:paraId="5CE882BA">
      <w:pPr>
        <w:pStyle w:val="19"/>
        <w:spacing w:before="35" w:line="440" w:lineRule="exact"/>
        <w:ind w:left="4060" w:right="2166" w:firstLine="358" w:firstLineChars="152"/>
        <w:rPr>
          <w:rFonts w:hint="eastAsia" w:ascii="宋体" w:hAnsi="宋体" w:eastAsia="宋体" w:cs="宋体"/>
          <w:color w:val="auto"/>
          <w:spacing w:val="-2"/>
          <w:sz w:val="24"/>
          <w:szCs w:val="24"/>
          <w:highlight w:val="none"/>
        </w:rPr>
      </w:pPr>
      <w:r>
        <w:rPr>
          <w:rFonts w:hint="eastAsia" w:ascii="宋体" w:hAnsi="宋体" w:eastAsia="宋体" w:cs="宋体"/>
          <w:color w:val="auto"/>
          <w:spacing w:val="-2"/>
          <w:sz w:val="24"/>
          <w:szCs w:val="24"/>
          <w:highlight w:val="none"/>
        </w:rPr>
        <w:t>日期：</w:t>
      </w:r>
    </w:p>
    <w:p w14:paraId="6BFB29E5">
      <w:pPr>
        <w:rPr>
          <w:rFonts w:hint="eastAsia" w:ascii="宋体" w:hAnsi="宋体" w:eastAsia="宋体" w:cs="宋体"/>
          <w:color w:val="auto"/>
          <w:spacing w:val="-2"/>
          <w:sz w:val="24"/>
          <w:szCs w:val="24"/>
          <w:highlight w:val="none"/>
        </w:rPr>
      </w:pPr>
      <w:r>
        <w:rPr>
          <w:rFonts w:hint="eastAsia" w:ascii="宋体" w:hAnsi="宋体" w:eastAsia="宋体" w:cs="宋体"/>
          <w:color w:val="auto"/>
          <w:spacing w:val="-2"/>
          <w:sz w:val="24"/>
          <w:szCs w:val="24"/>
          <w:highlight w:val="none"/>
        </w:rPr>
        <w:br w:type="page"/>
      </w:r>
    </w:p>
    <w:p w14:paraId="309E9C62">
      <w:pPr>
        <w:spacing w:line="440" w:lineRule="exact"/>
        <w:ind w:firstLine="562"/>
        <w:jc w:val="center"/>
        <w:outlineLvl w:val="1"/>
        <w:rPr>
          <w:rFonts w:hint="eastAsia" w:ascii="宋体" w:hAnsi="宋体" w:eastAsia="宋体" w:cs="宋体"/>
          <w:b/>
          <w:bCs/>
          <w:color w:val="auto"/>
          <w:sz w:val="28"/>
          <w:szCs w:val="28"/>
          <w:highlight w:val="none"/>
        </w:rPr>
      </w:pPr>
      <w:bookmarkStart w:id="332" w:name="_Toc15371"/>
      <w:bookmarkStart w:id="333" w:name="_Toc11664"/>
      <w:r>
        <w:rPr>
          <w:rFonts w:hint="eastAsia" w:ascii="宋体" w:hAnsi="宋体" w:eastAsia="宋体" w:cs="宋体"/>
          <w:b/>
          <w:bCs/>
          <w:color w:val="auto"/>
          <w:sz w:val="28"/>
          <w:szCs w:val="28"/>
          <w:highlight w:val="none"/>
        </w:rPr>
        <w:t>附件1</w:t>
      </w:r>
      <w:r>
        <w:rPr>
          <w:rFonts w:hint="eastAsia" w:ascii="宋体" w:hAnsi="宋体" w:cs="宋体"/>
          <w:b/>
          <w:bCs/>
          <w:color w:val="auto"/>
          <w:sz w:val="28"/>
          <w:szCs w:val="28"/>
          <w:highlight w:val="none"/>
          <w:lang w:val="en-US" w:eastAsia="zh-CN"/>
        </w:rPr>
        <w:t>5</w:t>
      </w:r>
      <w:r>
        <w:rPr>
          <w:rFonts w:hint="eastAsia" w:ascii="宋体" w:hAnsi="宋体" w:eastAsia="宋体" w:cs="宋体"/>
          <w:b/>
          <w:bCs/>
          <w:color w:val="auto"/>
          <w:sz w:val="28"/>
          <w:szCs w:val="28"/>
          <w:highlight w:val="none"/>
          <w:lang w:val="en-US" w:eastAsia="zh-CN"/>
        </w:rPr>
        <w:t xml:space="preserve"> </w:t>
      </w:r>
      <w:r>
        <w:rPr>
          <w:rFonts w:hint="eastAsia" w:ascii="宋体" w:hAnsi="宋体" w:eastAsia="宋体" w:cs="宋体"/>
          <w:b/>
          <w:bCs/>
          <w:color w:val="auto"/>
          <w:sz w:val="28"/>
          <w:szCs w:val="28"/>
          <w:highlight w:val="none"/>
        </w:rPr>
        <w:t>关于符合本国产品标准的声明函</w:t>
      </w:r>
      <w:bookmarkEnd w:id="332"/>
      <w:bookmarkEnd w:id="333"/>
    </w:p>
    <w:p w14:paraId="0C6C6328">
      <w:pPr>
        <w:pStyle w:val="50"/>
        <w:spacing w:before="0" w:beforeAutospacing="0" w:after="0" w:afterAutospacing="0" w:line="0" w:lineRule="atLeast"/>
        <w:ind w:firstLine="420"/>
        <w:rPr>
          <w:rFonts w:hint="eastAsia" w:ascii="宋体" w:hAnsi="宋体" w:eastAsia="宋体" w:cs="宋体"/>
          <w:color w:val="auto"/>
          <w:highlight w:val="none"/>
        </w:rPr>
      </w:pPr>
    </w:p>
    <w:p w14:paraId="2D009912">
      <w:pPr>
        <w:pStyle w:val="50"/>
        <w:spacing w:before="0" w:beforeAutospacing="0" w:after="0" w:afterAutospacing="0" w:line="0" w:lineRule="atLeast"/>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本公司（单位）郑重声明，根据《国务院办公厅关于在政府采购中实施本国产品标准及相关政策的通知》（国办发〔2025〕34号）的规定，本公司（单位）提供的以下产品属于本国产品。具体情况如下：</w:t>
      </w:r>
    </w:p>
    <w:p w14:paraId="0282634D">
      <w:pPr>
        <w:pStyle w:val="50"/>
        <w:numPr>
          <w:ilvl w:val="0"/>
          <w:numId w:val="4"/>
        </w:numPr>
        <w:spacing w:before="30" w:beforeAutospacing="0" w:after="30" w:afterAutospacing="0" w:line="0" w:lineRule="atLeast"/>
        <w:ind w:firstLine="420"/>
        <w:rPr>
          <w:rFonts w:hint="eastAsia" w:ascii="宋体" w:hAnsi="宋体" w:eastAsia="宋体" w:cs="宋体"/>
          <w:color w:val="auto"/>
          <w:highlight w:val="none"/>
        </w:rPr>
      </w:pPr>
      <w:r>
        <w:rPr>
          <w:rFonts w:hint="eastAsia" w:ascii="宋体" w:hAnsi="宋体" w:eastAsia="宋体" w:cs="宋体"/>
          <w:color w:val="auto"/>
          <w:highlight w:val="none"/>
        </w:rPr>
        <mc:AlternateContent>
          <mc:Choice Requires="wps">
            <w:drawing>
              <wp:anchor distT="0" distB="0" distL="114300" distR="114300" simplePos="0" relativeHeight="251662336" behindDoc="0" locked="0" layoutInCell="1" allowOverlap="1">
                <wp:simplePos x="0" y="0"/>
                <wp:positionH relativeFrom="column">
                  <wp:posOffset>1286510</wp:posOffset>
                </wp:positionH>
                <wp:positionV relativeFrom="paragraph">
                  <wp:posOffset>434975</wp:posOffset>
                </wp:positionV>
                <wp:extent cx="876300" cy="120015"/>
                <wp:effectExtent l="635" t="4445" r="18415" b="8890"/>
                <wp:wrapNone/>
                <wp:docPr id="16" name="直接箭头连接符 16"/>
                <wp:cNvGraphicFramePr/>
                <a:graphic xmlns:a="http://schemas.openxmlformats.org/drawingml/2006/main">
                  <a:graphicData uri="http://schemas.microsoft.com/office/word/2010/wordprocessingShape">
                    <wps:wsp>
                      <wps:cNvCnPr/>
                      <wps:spPr>
                        <a:xfrm flipV="1">
                          <a:off x="0" y="0"/>
                          <a:ext cx="876300" cy="120015"/>
                        </a:xfrm>
                        <a:prstGeom prst="straightConnector1">
                          <a:avLst/>
                        </a:prstGeom>
                        <a:ln w="9525" cap="flat" cmpd="sng">
                          <a:solidFill>
                            <a:srgbClr val="000000"/>
                          </a:solidFill>
                          <a:prstDash val="solid"/>
                          <a:headEnd type="none" w="med" len="med"/>
                          <a:tailEnd type="none" w="med" len="med"/>
                        </a:ln>
                      </wps:spPr>
                      <wps:bodyPr/>
                    </wps:wsp>
                  </a:graphicData>
                </a:graphic>
              </wp:anchor>
            </w:drawing>
          </mc:Choice>
          <mc:Fallback>
            <w:pict>
              <v:shape id="_x0000_s1026" o:spid="_x0000_s1026" o:spt="32" type="#_x0000_t32" style="position:absolute;left:0pt;flip:y;margin-left:101.3pt;margin-top:34.25pt;height:9.45pt;width:69pt;z-index:251662336;mso-width-relative:page;mso-height-relative:page;" filled="f" stroked="t" coordsize="21600,21600" o:gfxdata="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">
                <v:fill on="f" focussize="0,0"/>
                <v:stroke color="#000000" joinstyle="round"/>
                <v:imagedata o:title=""/>
                <o:lock v:ext="edit" aspectratio="f"/>
              </v:shape>
            </w:pict>
          </mc:Fallback>
        </mc:AlternateContent>
      </w:r>
      <w:r>
        <w:rPr>
          <w:rFonts w:hint="eastAsia" w:ascii="宋体" w:hAnsi="宋体" w:eastAsia="宋体" w:cs="宋体"/>
          <w:color w:val="auto"/>
          <w:highlight w:val="none"/>
        </w:rPr>
        <mc:AlternateContent>
          <mc:Choice Requires="wps">
            <w:drawing>
              <wp:anchor distT="0" distB="0" distL="114300" distR="114300" simplePos="0" relativeHeight="251665408" behindDoc="0" locked="0" layoutInCell="1" allowOverlap="1">
                <wp:simplePos x="0" y="0"/>
                <wp:positionH relativeFrom="column">
                  <wp:posOffset>-8890</wp:posOffset>
                </wp:positionH>
                <wp:positionV relativeFrom="paragraph">
                  <wp:posOffset>511175</wp:posOffset>
                </wp:positionV>
                <wp:extent cx="565785" cy="130810"/>
                <wp:effectExtent l="1270" t="4445" r="4445" b="17145"/>
                <wp:wrapNone/>
                <wp:docPr id="2" name="直接箭头连接符 2"/>
                <wp:cNvGraphicFramePr/>
                <a:graphic xmlns:a="http://schemas.openxmlformats.org/drawingml/2006/main">
                  <a:graphicData uri="http://schemas.microsoft.com/office/word/2010/wordprocessingShape">
                    <wps:wsp>
                      <wps:cNvCnPr/>
                      <wps:spPr>
                        <a:xfrm flipV="1">
                          <a:off x="0" y="0"/>
                          <a:ext cx="565785" cy="130810"/>
                        </a:xfrm>
                        <a:prstGeom prst="straightConnector1">
                          <a:avLst/>
                        </a:prstGeom>
                        <a:ln w="9525" cap="flat" cmpd="sng">
                          <a:solidFill>
                            <a:srgbClr val="000000"/>
                          </a:solidFill>
                          <a:prstDash val="solid"/>
                          <a:headEnd type="none" w="med" len="med"/>
                          <a:tailEnd type="none" w="med" len="med"/>
                        </a:ln>
                      </wps:spPr>
                      <wps:bodyPr/>
                    </wps:wsp>
                  </a:graphicData>
                </a:graphic>
              </wp:anchor>
            </w:drawing>
          </mc:Choice>
          <mc:Fallback>
            <w:pict>
              <v:shape id="_x0000_s1026" o:spid="_x0000_s1026" o:spt="32" type="#_x0000_t32" style="position:absolute;left:0pt;flip:y;margin-left:-0.7pt;margin-top:40.25pt;height:10.3pt;width:44.55pt;z-index:251665408;mso-width-relative:page;mso-height-relative:page;" filled="f" stroked="t" coordsize="21600,21600" o:gfxdata="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">
                <v:fill on="f" focussize="0,0"/>
                <v:stroke color="#000000" joinstyle="round"/>
                <v:imagedata o:title=""/>
                <o:lock v:ext="edit" aspectratio="f"/>
              </v:shape>
            </w:pict>
          </mc:Fallback>
        </mc:AlternateContent>
      </w:r>
      <w:r>
        <w:rPr>
          <w:rFonts w:hint="eastAsia" w:ascii="宋体" w:hAnsi="宋体" w:eastAsia="宋体" w:cs="宋体"/>
          <w:color w:val="auto"/>
          <w:highlight w:val="none"/>
        </w:rPr>
        <mc:AlternateContent>
          <mc:Choice Requires="wps">
            <w:drawing>
              <wp:anchor distT="0" distB="0" distL="114300" distR="114300" simplePos="0" relativeHeight="251664384" behindDoc="0" locked="0" layoutInCell="1" allowOverlap="1">
                <wp:simplePos x="0" y="0"/>
                <wp:positionH relativeFrom="column">
                  <wp:posOffset>29210</wp:posOffset>
                </wp:positionH>
                <wp:positionV relativeFrom="paragraph">
                  <wp:posOffset>309880</wp:posOffset>
                </wp:positionV>
                <wp:extent cx="364490" cy="97790"/>
                <wp:effectExtent l="1270" t="4445" r="15240" b="12065"/>
                <wp:wrapNone/>
                <wp:docPr id="1" name="直接箭头连接符 1"/>
                <wp:cNvGraphicFramePr/>
                <a:graphic xmlns:a="http://schemas.openxmlformats.org/drawingml/2006/main">
                  <a:graphicData uri="http://schemas.microsoft.com/office/word/2010/wordprocessingShape">
                    <wps:wsp>
                      <wps:cNvCnPr/>
                      <wps:spPr>
                        <a:xfrm flipV="1">
                          <a:off x="0" y="0"/>
                          <a:ext cx="364490" cy="97790"/>
                        </a:xfrm>
                        <a:prstGeom prst="straightConnector1">
                          <a:avLst/>
                        </a:prstGeom>
                        <a:ln w="9525" cap="flat" cmpd="sng">
                          <a:solidFill>
                            <a:srgbClr val="000000"/>
                          </a:solidFill>
                          <a:prstDash val="solid"/>
                          <a:headEnd type="none" w="med" len="med"/>
                          <a:tailEnd type="none" w="med" len="med"/>
                        </a:ln>
                      </wps:spPr>
                      <wps:bodyPr/>
                    </wps:wsp>
                  </a:graphicData>
                </a:graphic>
              </wp:anchor>
            </w:drawing>
          </mc:Choice>
          <mc:Fallback>
            <w:pict>
              <v:shape id="_x0000_s1026" o:spid="_x0000_s1026" o:spt="32" type="#_x0000_t32" style="position:absolute;left:0pt;flip:y;margin-left:2.3pt;margin-top:24.4pt;height:7.7pt;width:28.7pt;z-index:251664384;mso-width-relative:page;mso-height-relative:page;" filled="f" stroked="t" coordsize="21600,21600" o:gfxdata="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">
                <v:fill on="f" focussize="0,0"/>
                <v:stroke color="#000000" joinstyle="round"/>
                <v:imagedata o:title=""/>
                <o:lock v:ext="edit" aspectratio="f"/>
              </v:shape>
            </w:pict>
          </mc:Fallback>
        </mc:AlternateContent>
      </w:r>
      <w:r>
        <w:rPr>
          <w:rFonts w:hint="eastAsia" w:ascii="宋体" w:hAnsi="宋体" w:eastAsia="宋体" w:cs="宋体"/>
          <w:color w:val="auto"/>
          <w:highlight w:val="none"/>
        </w:rPr>
        <mc:AlternateContent>
          <mc:Choice Requires="wps">
            <w:drawing>
              <wp:anchor distT="0" distB="0" distL="114300" distR="114300" simplePos="0" relativeHeight="251663360" behindDoc="0" locked="0" layoutInCell="1" allowOverlap="1">
                <wp:simplePos x="0" y="0"/>
                <wp:positionH relativeFrom="column">
                  <wp:posOffset>4595495</wp:posOffset>
                </wp:positionH>
                <wp:positionV relativeFrom="paragraph">
                  <wp:posOffset>86995</wp:posOffset>
                </wp:positionV>
                <wp:extent cx="577215" cy="92075"/>
                <wp:effectExtent l="635" t="4445" r="12700" b="17780"/>
                <wp:wrapNone/>
                <wp:docPr id="5" name="直接箭头连接符 5"/>
                <wp:cNvGraphicFramePr/>
                <a:graphic xmlns:a="http://schemas.openxmlformats.org/drawingml/2006/main">
                  <a:graphicData uri="http://schemas.microsoft.com/office/word/2010/wordprocessingShape">
                    <wps:wsp>
                      <wps:cNvCnPr/>
                      <wps:spPr>
                        <a:xfrm flipV="1">
                          <a:off x="0" y="0"/>
                          <a:ext cx="577215" cy="92075"/>
                        </a:xfrm>
                        <a:prstGeom prst="straightConnector1">
                          <a:avLst/>
                        </a:prstGeom>
                        <a:ln w="9525" cap="flat" cmpd="sng">
                          <a:solidFill>
                            <a:srgbClr val="000000"/>
                          </a:solidFill>
                          <a:prstDash val="solid"/>
                          <a:headEnd type="none" w="med" len="med"/>
                          <a:tailEnd type="none" w="med" len="med"/>
                        </a:ln>
                      </wps:spPr>
                      <wps:bodyPr/>
                    </wps:wsp>
                  </a:graphicData>
                </a:graphic>
              </wp:anchor>
            </w:drawing>
          </mc:Choice>
          <mc:Fallback>
            <w:pict>
              <v:shape id="_x0000_s1026" o:spid="_x0000_s1026" o:spt="32" type="#_x0000_t32" style="position:absolute;left:0pt;flip:y;margin-left:361.85pt;margin-top:6.85pt;height:7.25pt;width:45.45pt;z-index:251663360;mso-width-relative:page;mso-height-relative:page;" filled="f" stroked="t" coordsize="21600,21600" o:gfxdata="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">
                <v:fill on="f" focussize="0,0"/>
                <v:stroke color="#000000" joinstyle="round"/>
                <v:imagedata o:title=""/>
                <o:lock v:ext="edit" aspectratio="f"/>
              </v:shape>
            </w:pict>
          </mc:Fallback>
        </mc:AlternateContent>
      </w:r>
      <w:r>
        <w:rPr>
          <w:rFonts w:hint="eastAsia" w:ascii="宋体" w:hAnsi="宋体" w:eastAsia="宋体" w:cs="宋体"/>
          <w:color w:val="auto"/>
          <w:highlight w:val="none"/>
        </w:rPr>
        <mc:AlternateContent>
          <mc:Choice Requires="wps">
            <w:drawing>
              <wp:anchor distT="0" distB="0" distL="114300" distR="114300" simplePos="0" relativeHeight="251661312" behindDoc="0" locked="0" layoutInCell="1" allowOverlap="1">
                <wp:simplePos x="0" y="0"/>
                <wp:positionH relativeFrom="column">
                  <wp:posOffset>3844290</wp:posOffset>
                </wp:positionH>
                <wp:positionV relativeFrom="paragraph">
                  <wp:posOffset>304165</wp:posOffset>
                </wp:positionV>
                <wp:extent cx="816610" cy="103505"/>
                <wp:effectExtent l="635" t="4445" r="1905" b="6350"/>
                <wp:wrapNone/>
                <wp:docPr id="6" name="直接箭头连接符 6"/>
                <wp:cNvGraphicFramePr/>
                <a:graphic xmlns:a="http://schemas.openxmlformats.org/drawingml/2006/main">
                  <a:graphicData uri="http://schemas.microsoft.com/office/word/2010/wordprocessingShape">
                    <wps:wsp>
                      <wps:cNvCnPr/>
                      <wps:spPr>
                        <a:xfrm flipV="1">
                          <a:off x="0" y="0"/>
                          <a:ext cx="816610" cy="103505"/>
                        </a:xfrm>
                        <a:prstGeom prst="straightConnector1">
                          <a:avLst/>
                        </a:prstGeom>
                        <a:ln w="9525" cap="flat" cmpd="sng">
                          <a:solidFill>
                            <a:srgbClr val="000000"/>
                          </a:solidFill>
                          <a:prstDash val="solid"/>
                          <a:headEnd type="none" w="med" len="med"/>
                          <a:tailEnd type="none" w="med" len="med"/>
                        </a:ln>
                      </wps:spPr>
                      <wps:bodyPr/>
                    </wps:wsp>
                  </a:graphicData>
                </a:graphic>
              </wp:anchor>
            </w:drawing>
          </mc:Choice>
          <mc:Fallback>
            <w:pict>
              <v:shape id="_x0000_s1026" o:spid="_x0000_s1026" o:spt="32" type="#_x0000_t32" style="position:absolute;left:0pt;flip:y;margin-left:302.7pt;margin-top:23.95pt;height:8.15pt;width:64.3pt;z-index:251661312;mso-width-relative:page;mso-height-relative:page;" filled="f" stroked="t" coordsize="21600,21600" o:gfxdata="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">
                <v:fill on="f" focussize="0,0"/>
                <v:stroke color="#000000" joinstyle="round"/>
                <v:imagedata o:title=""/>
                <o:lock v:ext="edit" aspectratio="f"/>
              </v:shape>
            </w:pict>
          </mc:Fallback>
        </mc:AlternateContent>
      </w:r>
      <w:r>
        <w:rPr>
          <w:rFonts w:hint="eastAsia" w:ascii="宋体" w:hAnsi="宋体" w:eastAsia="宋体" w:cs="宋体"/>
          <w:color w:val="auto"/>
          <w:highlight w:val="none"/>
        </w:rPr>
        <mc:AlternateContent>
          <mc:Choice Requires="wps">
            <w:drawing>
              <wp:anchor distT="0" distB="0" distL="114300" distR="114300" simplePos="0" relativeHeight="251660288" behindDoc="0" locked="0" layoutInCell="1" allowOverlap="1">
                <wp:simplePos x="0" y="0"/>
                <wp:positionH relativeFrom="column">
                  <wp:posOffset>2772410</wp:posOffset>
                </wp:positionH>
                <wp:positionV relativeFrom="paragraph">
                  <wp:posOffset>320675</wp:posOffset>
                </wp:positionV>
                <wp:extent cx="816610" cy="76200"/>
                <wp:effectExtent l="635" t="4445" r="1905" b="14605"/>
                <wp:wrapNone/>
                <wp:docPr id="9" name="直接箭头连接符 9"/>
                <wp:cNvGraphicFramePr/>
                <a:graphic xmlns:a="http://schemas.openxmlformats.org/drawingml/2006/main">
                  <a:graphicData uri="http://schemas.microsoft.com/office/word/2010/wordprocessingShape">
                    <wps:wsp>
                      <wps:cNvCnPr/>
                      <wps:spPr>
                        <a:xfrm flipV="1">
                          <a:off x="0" y="0"/>
                          <a:ext cx="816610" cy="76200"/>
                        </a:xfrm>
                        <a:prstGeom prst="straightConnector1">
                          <a:avLst/>
                        </a:prstGeom>
                        <a:ln w="9525" cap="flat" cmpd="sng">
                          <a:solidFill>
                            <a:srgbClr val="000000"/>
                          </a:solidFill>
                          <a:prstDash val="solid"/>
                          <a:headEnd type="none" w="med" len="med"/>
                          <a:tailEnd type="none" w="med" len="med"/>
                        </a:ln>
                      </wps:spPr>
                      <wps:bodyPr/>
                    </wps:wsp>
                  </a:graphicData>
                </a:graphic>
              </wp:anchor>
            </w:drawing>
          </mc:Choice>
          <mc:Fallback>
            <w:pict>
              <v:shape id="_x0000_s1026" o:spid="_x0000_s1026" o:spt="32" type="#_x0000_t32" style="position:absolute;left:0pt;flip:y;margin-left:218.3pt;margin-top:25.25pt;height:6pt;width:64.3pt;z-index:251660288;mso-width-relative:page;mso-height-relative:page;" filled="f" stroked="t" coordsize="21600,21600" o:gfxdata="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">
                <v:fill on="f" focussize="0,0"/>
                <v:stroke color="#000000" joinstyle="round"/>
                <v:imagedata o:title=""/>
                <o:lock v:ext="edit" aspectratio="f"/>
              </v:shape>
            </w:pict>
          </mc:Fallback>
        </mc:AlternateContent>
      </w:r>
      <w:r>
        <w:rPr>
          <w:rFonts w:hint="eastAsia" w:cs="宋体"/>
          <w:color w:val="auto"/>
          <w:highlight w:val="none"/>
          <w:u w:val="single"/>
          <w:shd w:val="clear" w:color="auto" w:fill="FFFFFF"/>
          <w:lang w:val="en-US" w:eastAsia="zh-CN"/>
        </w:rPr>
        <w:t xml:space="preserve">   /   </w:t>
      </w:r>
      <w:r>
        <w:rPr>
          <w:rFonts w:hint="eastAsia" w:ascii="宋体" w:hAnsi="宋体" w:eastAsia="宋体" w:cs="宋体"/>
          <w:color w:val="auto"/>
          <w:highlight w:val="none"/>
          <w:shd w:val="clear" w:color="auto" w:fill="FFFFFF"/>
        </w:rPr>
        <w:t>，生产厂为</w:t>
      </w:r>
      <w:r>
        <w:rPr>
          <w:rStyle w:val="60"/>
          <w:rFonts w:hint="eastAsia" w:ascii="宋体" w:hAnsi="宋体" w:eastAsia="宋体" w:cs="宋体"/>
          <w:i w:val="0"/>
          <w:color w:val="auto"/>
          <w:highlight w:val="none"/>
          <w:u w:val="single"/>
          <w:shd w:val="clear" w:color="auto" w:fill="FFFFFF"/>
        </w:rPr>
        <w:t>（厂名）</w:t>
      </w:r>
      <w:r>
        <w:rPr>
          <w:rStyle w:val="60"/>
          <w:rFonts w:hint="eastAsia" w:ascii="宋体" w:hAnsi="宋体" w:eastAsia="宋体" w:cs="宋体"/>
          <w:i w:val="0"/>
          <w:color w:val="auto"/>
          <w:highlight w:val="none"/>
          <w:shd w:val="clear" w:color="auto" w:fill="FFFFFF"/>
          <w:vertAlign w:val="superscript"/>
        </w:rPr>
        <w:t>2</w:t>
      </w:r>
      <w:r>
        <w:rPr>
          <w:rFonts w:hint="eastAsia" w:ascii="宋体" w:hAnsi="宋体" w:eastAsia="宋体" w:cs="宋体"/>
          <w:color w:val="auto"/>
          <w:highlight w:val="none"/>
          <w:shd w:val="clear" w:color="auto" w:fill="FFFFFF"/>
        </w:rPr>
        <w:t>，厂址为</w:t>
      </w:r>
      <w:r>
        <w:rPr>
          <w:rStyle w:val="60"/>
          <w:rFonts w:hint="eastAsia" w:ascii="宋体" w:hAnsi="宋体" w:eastAsia="宋体" w:cs="宋体"/>
          <w:i w:val="0"/>
          <w:color w:val="auto"/>
          <w:highlight w:val="none"/>
          <w:u w:val="single"/>
          <w:shd w:val="clear" w:color="auto" w:fill="FFFFFF"/>
        </w:rPr>
        <w:t>（生产厂址）</w:t>
      </w:r>
      <w:r>
        <w:rPr>
          <w:rFonts w:hint="eastAsia" w:ascii="宋体" w:hAnsi="宋体" w:eastAsia="宋体" w:cs="宋体"/>
          <w:color w:val="auto"/>
          <w:highlight w:val="none"/>
          <w:shd w:val="clear" w:color="auto" w:fill="FFFFFF"/>
        </w:rPr>
        <w:t>。</w:t>
      </w:r>
      <w:r>
        <w:rPr>
          <w:rFonts w:hint="eastAsia" w:ascii="宋体" w:hAnsi="宋体" w:eastAsia="宋体" w:cs="宋体"/>
          <w:color w:val="auto"/>
          <w:highlight w:val="none"/>
          <w:u w:val="single"/>
          <w:shd w:val="clear" w:color="auto" w:fill="FFFFFF"/>
        </w:rPr>
        <w:t xml:space="preserve"> </w:t>
      </w:r>
      <w:r>
        <w:rPr>
          <w:rStyle w:val="60"/>
          <w:rFonts w:hint="eastAsia" w:ascii="宋体" w:hAnsi="宋体" w:eastAsia="宋体" w:cs="宋体"/>
          <w:i w:val="0"/>
          <w:color w:val="auto"/>
          <w:highlight w:val="none"/>
          <w:u w:val="single"/>
          <w:shd w:val="clear" w:color="auto" w:fill="FFFFFF"/>
        </w:rPr>
        <w:t xml:space="preserve">（产品名称1） </w:t>
      </w:r>
      <w:r>
        <w:rPr>
          <w:rFonts w:hint="eastAsia" w:ascii="宋体" w:hAnsi="宋体" w:eastAsia="宋体" w:cs="宋体"/>
          <w:color w:val="auto"/>
          <w:highlight w:val="none"/>
          <w:shd w:val="clear" w:color="auto" w:fill="FFFFFF"/>
        </w:rPr>
        <w:t>的中国境内生产的组件成本占比≥</w:t>
      </w:r>
      <w:r>
        <w:rPr>
          <w:rStyle w:val="60"/>
          <w:rFonts w:hint="eastAsia" w:ascii="宋体" w:hAnsi="宋体" w:eastAsia="宋体" w:cs="宋体"/>
          <w:i w:val="0"/>
          <w:color w:val="auto"/>
          <w:highlight w:val="none"/>
          <w:u w:val="single"/>
          <w:shd w:val="clear" w:color="auto" w:fill="FFFFFF"/>
        </w:rPr>
        <w:t>（规定比例）</w:t>
      </w:r>
      <w:r>
        <w:rPr>
          <w:rStyle w:val="60"/>
          <w:rFonts w:hint="eastAsia" w:ascii="宋体" w:hAnsi="宋体" w:eastAsia="宋体" w:cs="宋体"/>
          <w:i w:val="0"/>
          <w:color w:val="auto"/>
          <w:highlight w:val="none"/>
          <w:shd w:val="clear" w:color="auto" w:fill="FFFFFF"/>
          <w:vertAlign w:val="superscript"/>
        </w:rPr>
        <w:t>3</w:t>
      </w:r>
      <w:r>
        <w:rPr>
          <w:rFonts w:hint="eastAsia" w:ascii="宋体" w:hAnsi="宋体" w:eastAsia="宋体" w:cs="宋体"/>
          <w:color w:val="auto"/>
          <w:highlight w:val="none"/>
          <w:shd w:val="clear" w:color="auto" w:fill="FFFFFF"/>
        </w:rPr>
        <w:t>。</w:t>
      </w:r>
      <w:r>
        <w:rPr>
          <w:rStyle w:val="60"/>
          <w:rFonts w:hint="eastAsia" w:ascii="宋体" w:hAnsi="宋体" w:eastAsia="宋体" w:cs="宋体"/>
          <w:i w:val="0"/>
          <w:color w:val="auto"/>
          <w:highlight w:val="none"/>
          <w:u w:val="single"/>
          <w:shd w:val="clear" w:color="auto" w:fill="FFFFFF"/>
        </w:rPr>
        <w:t>（产品名称1）</w:t>
      </w:r>
      <w:r>
        <w:rPr>
          <w:rFonts w:hint="eastAsia" w:ascii="宋体" w:hAnsi="宋体" w:eastAsia="宋体" w:cs="宋体"/>
          <w:color w:val="auto"/>
          <w:highlight w:val="none"/>
          <w:shd w:val="clear" w:color="auto" w:fill="FFFFFF"/>
        </w:rPr>
        <w:t>的</w:t>
      </w:r>
      <w:r>
        <w:rPr>
          <w:rStyle w:val="60"/>
          <w:rFonts w:hint="eastAsia" w:ascii="宋体" w:hAnsi="宋体" w:eastAsia="宋体" w:cs="宋体"/>
          <w:i w:val="0"/>
          <w:color w:val="auto"/>
          <w:highlight w:val="none"/>
          <w:u w:val="single"/>
          <w:shd w:val="clear" w:color="auto" w:fill="FFFFFF"/>
        </w:rPr>
        <w:t>（关键组件）</w:t>
      </w:r>
      <w:r>
        <w:rPr>
          <w:rStyle w:val="60"/>
          <w:rFonts w:hint="eastAsia" w:ascii="宋体" w:hAnsi="宋体" w:eastAsia="宋体" w:cs="宋体"/>
          <w:i w:val="0"/>
          <w:color w:val="auto"/>
          <w:highlight w:val="none"/>
          <w:shd w:val="clear" w:color="auto" w:fill="FFFFFF"/>
          <w:vertAlign w:val="superscript"/>
        </w:rPr>
        <w:t>4</w:t>
      </w:r>
      <w:r>
        <w:rPr>
          <w:rFonts w:hint="eastAsia" w:ascii="宋体" w:hAnsi="宋体" w:eastAsia="宋体" w:cs="宋体"/>
          <w:color w:val="auto"/>
          <w:highlight w:val="none"/>
          <w:shd w:val="clear" w:color="auto" w:fill="FFFFFF"/>
        </w:rPr>
        <w:t>在中国境内生产。</w:t>
      </w:r>
      <w:r>
        <w:rPr>
          <w:rStyle w:val="60"/>
          <w:rFonts w:hint="eastAsia" w:ascii="宋体" w:hAnsi="宋体" w:eastAsia="宋体" w:cs="宋体"/>
          <w:i w:val="0"/>
          <w:color w:val="auto"/>
          <w:highlight w:val="none"/>
          <w:u w:val="single"/>
          <w:shd w:val="clear" w:color="auto" w:fill="FFFFFF"/>
        </w:rPr>
        <w:t>（产品名称1）</w:t>
      </w:r>
      <w:r>
        <w:rPr>
          <w:rFonts w:hint="eastAsia" w:ascii="宋体" w:hAnsi="宋体" w:eastAsia="宋体" w:cs="宋体"/>
          <w:color w:val="auto"/>
          <w:highlight w:val="none"/>
          <w:shd w:val="clear" w:color="auto" w:fill="FFFFFF"/>
        </w:rPr>
        <w:t>的</w:t>
      </w:r>
      <w:r>
        <w:rPr>
          <w:rStyle w:val="60"/>
          <w:rFonts w:hint="eastAsia" w:ascii="宋体" w:hAnsi="宋体" w:eastAsia="宋体" w:cs="宋体"/>
          <w:i w:val="0"/>
          <w:color w:val="auto"/>
          <w:highlight w:val="none"/>
          <w:u w:val="single"/>
          <w:shd w:val="clear" w:color="auto" w:fill="FFFFFF"/>
        </w:rPr>
        <w:t>（关键工序）</w:t>
      </w:r>
      <w:r>
        <w:rPr>
          <w:rStyle w:val="60"/>
          <w:rFonts w:hint="eastAsia" w:ascii="宋体" w:hAnsi="宋体" w:eastAsia="宋体" w:cs="宋体"/>
          <w:i w:val="0"/>
          <w:color w:val="auto"/>
          <w:highlight w:val="none"/>
          <w:shd w:val="clear" w:color="auto" w:fill="FFFFFF"/>
          <w:vertAlign w:val="superscript"/>
        </w:rPr>
        <w:t>5</w:t>
      </w:r>
      <w:r>
        <w:rPr>
          <w:rFonts w:hint="eastAsia" w:ascii="宋体" w:hAnsi="宋体" w:eastAsia="宋体" w:cs="宋体"/>
          <w:color w:val="auto"/>
          <w:highlight w:val="none"/>
          <w:shd w:val="clear" w:color="auto" w:fill="FFFFFF"/>
        </w:rPr>
        <w:t>在中国境内完成。</w:t>
      </w:r>
    </w:p>
    <w:p w14:paraId="0F8EFFED">
      <w:pPr>
        <w:pStyle w:val="50"/>
        <w:spacing w:before="30" w:beforeAutospacing="0" w:after="30" w:afterAutospacing="0" w:line="0" w:lineRule="atLeast"/>
        <w:ind w:firstLine="420"/>
        <w:rPr>
          <w:rFonts w:hint="eastAsia" w:ascii="宋体" w:hAnsi="宋体" w:eastAsia="宋体" w:cs="宋体"/>
          <w:color w:val="auto"/>
          <w:sz w:val="24"/>
          <w:szCs w:val="24"/>
          <w:highlight w:val="none"/>
          <w:shd w:val="clear" w:color="auto" w:fill="FFFFFF"/>
        </w:rPr>
      </w:pPr>
    </w:p>
    <w:p w14:paraId="264BE07D">
      <w:pPr>
        <w:pStyle w:val="50"/>
        <w:spacing w:before="30" w:beforeAutospacing="0" w:after="30" w:afterAutospacing="0" w:line="0" w:lineRule="atLeast"/>
        <w:ind w:firstLine="420"/>
        <w:rPr>
          <w:rFonts w:hint="eastAsia" w:ascii="宋体" w:hAnsi="宋体" w:eastAsia="宋体" w:cs="宋体"/>
          <w:color w:val="auto"/>
          <w:sz w:val="24"/>
          <w:szCs w:val="24"/>
          <w:highlight w:val="none"/>
          <w:shd w:val="clear" w:color="auto" w:fill="FFFFFF"/>
        </w:rPr>
      </w:pPr>
    </w:p>
    <w:p w14:paraId="014E8633">
      <w:pPr>
        <w:pStyle w:val="50"/>
        <w:spacing w:before="30" w:beforeAutospacing="0" w:after="30" w:afterAutospacing="0" w:line="0" w:lineRule="atLeast"/>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shd w:val="clear" w:color="auto" w:fill="FFFFFF"/>
        </w:rPr>
        <w:t>本公司（单位）对上述声明内容的真实性负责。如有虚假，愿承担相应法律责任。</w:t>
      </w:r>
    </w:p>
    <w:p w14:paraId="5F317AE5">
      <w:pPr>
        <w:pStyle w:val="50"/>
        <w:spacing w:before="30" w:beforeAutospacing="0" w:after="30" w:afterAutospacing="0" w:line="0" w:lineRule="atLeast"/>
        <w:rPr>
          <w:rFonts w:hint="eastAsia" w:ascii="宋体" w:hAnsi="宋体" w:eastAsia="宋体" w:cs="宋体"/>
          <w:color w:val="auto"/>
          <w:sz w:val="24"/>
          <w:szCs w:val="24"/>
          <w:highlight w:val="none"/>
        </w:rPr>
      </w:pPr>
    </w:p>
    <w:p w14:paraId="60FFF745">
      <w:pPr>
        <w:pStyle w:val="50"/>
        <w:spacing w:before="30" w:beforeAutospacing="0" w:after="30" w:afterAutospacing="0" w:line="0" w:lineRule="atLeast"/>
        <w:ind w:right="480" w:firstLine="3720" w:firstLineChars="1550"/>
        <w:rPr>
          <w:rFonts w:hint="eastAsia" w:ascii="宋体" w:hAnsi="宋体" w:eastAsia="宋体" w:cs="宋体"/>
          <w:color w:val="auto"/>
          <w:sz w:val="24"/>
          <w:szCs w:val="24"/>
          <w:highlight w:val="none"/>
          <w:shd w:val="clear" w:color="auto" w:fill="FFFFFF"/>
        </w:rPr>
      </w:pPr>
    </w:p>
    <w:p w14:paraId="0D515E04">
      <w:pPr>
        <w:pStyle w:val="50"/>
        <w:spacing w:before="30" w:beforeAutospacing="0" w:after="30" w:afterAutospacing="0" w:line="0" w:lineRule="atLeast"/>
        <w:ind w:right="480" w:firstLine="3720" w:firstLineChars="1550"/>
        <w:rPr>
          <w:rFonts w:hint="eastAsia" w:ascii="宋体" w:hAnsi="宋体" w:eastAsia="宋体" w:cs="宋体"/>
          <w:color w:val="auto"/>
          <w:sz w:val="24"/>
          <w:szCs w:val="24"/>
          <w:highlight w:val="none"/>
          <w:shd w:val="clear" w:color="auto" w:fill="FFFFFF"/>
        </w:rPr>
      </w:pPr>
    </w:p>
    <w:p w14:paraId="46FD0154">
      <w:pPr>
        <w:pStyle w:val="50"/>
        <w:spacing w:before="30" w:beforeAutospacing="0" w:after="30" w:afterAutospacing="0" w:line="0" w:lineRule="atLeast"/>
        <w:ind w:right="480" w:firstLine="3720" w:firstLineChars="1550"/>
        <w:rPr>
          <w:rFonts w:hint="eastAsia" w:ascii="宋体" w:hAnsi="宋体" w:eastAsia="宋体" w:cs="宋体"/>
          <w:color w:val="auto"/>
          <w:sz w:val="24"/>
          <w:szCs w:val="24"/>
          <w:highlight w:val="none"/>
          <w:shd w:val="clear" w:color="auto" w:fill="FFFFFF"/>
        </w:rPr>
      </w:pPr>
    </w:p>
    <w:p w14:paraId="1B8ED7C6">
      <w:pPr>
        <w:pStyle w:val="50"/>
        <w:spacing w:before="30" w:beforeAutospacing="0" w:after="30" w:afterAutospacing="0" w:line="0" w:lineRule="atLeast"/>
        <w:ind w:right="480" w:firstLine="3720" w:firstLineChars="1550"/>
        <w:rPr>
          <w:rFonts w:hint="eastAsia" w:ascii="宋体" w:hAnsi="宋体" w:eastAsia="宋体" w:cs="宋体"/>
          <w:color w:val="auto"/>
          <w:sz w:val="24"/>
          <w:szCs w:val="24"/>
          <w:highlight w:val="none"/>
          <w:shd w:val="clear" w:color="auto" w:fill="FFFFFF"/>
        </w:rPr>
      </w:pPr>
    </w:p>
    <w:p w14:paraId="5765BEF3">
      <w:pPr>
        <w:pStyle w:val="50"/>
        <w:spacing w:before="30" w:beforeAutospacing="0" w:after="30" w:afterAutospacing="0" w:line="0" w:lineRule="atLeast"/>
        <w:ind w:right="480" w:firstLine="3720" w:firstLineChars="1550"/>
        <w:rPr>
          <w:rFonts w:hint="eastAsia" w:ascii="宋体" w:hAnsi="宋体" w:eastAsia="宋体" w:cs="宋体"/>
          <w:color w:val="auto"/>
          <w:sz w:val="24"/>
          <w:szCs w:val="24"/>
          <w:highlight w:val="none"/>
          <w:shd w:val="clear" w:color="auto" w:fill="FFFFFF"/>
        </w:rPr>
      </w:pPr>
    </w:p>
    <w:p w14:paraId="6D171764">
      <w:pPr>
        <w:pStyle w:val="50"/>
        <w:spacing w:before="30" w:beforeAutospacing="0" w:after="30" w:afterAutospacing="0" w:line="0" w:lineRule="atLeast"/>
        <w:ind w:right="480" w:firstLine="3720" w:firstLineChars="155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shd w:val="clear" w:color="auto" w:fill="FFFFFF"/>
        </w:rPr>
        <w:t>公司（单位）名称（盖章）：　        </w:t>
      </w:r>
    </w:p>
    <w:p w14:paraId="1976713F">
      <w:pPr>
        <w:pStyle w:val="50"/>
        <w:spacing w:before="30" w:beforeAutospacing="0" w:after="30" w:afterAutospacing="0" w:line="0" w:lineRule="atLeas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shd w:val="clear" w:color="auto" w:fill="FFFFFF"/>
        </w:rPr>
        <w:t xml:space="preserve">                                日期：　   年　  月　  日         </w:t>
      </w:r>
    </w:p>
    <w:p w14:paraId="517243AF">
      <w:pPr>
        <w:pStyle w:val="50"/>
        <w:spacing w:before="30" w:beforeAutospacing="0" w:after="30" w:afterAutospacing="0" w:line="0" w:lineRule="atLeast"/>
        <w:rPr>
          <w:rFonts w:hint="eastAsia" w:ascii="宋体" w:hAnsi="宋体" w:eastAsia="宋体" w:cs="宋体"/>
          <w:color w:val="auto"/>
          <w:sz w:val="24"/>
          <w:szCs w:val="24"/>
          <w:highlight w:val="none"/>
          <w:shd w:val="clear" w:color="auto" w:fill="FFFFFF"/>
        </w:rPr>
      </w:pPr>
    </w:p>
    <w:p w14:paraId="5FA39768">
      <w:pPr>
        <w:pStyle w:val="50"/>
        <w:spacing w:before="30" w:beforeAutospacing="0" w:after="30" w:afterAutospacing="0" w:line="0" w:lineRule="atLeast"/>
        <w:rPr>
          <w:rFonts w:hint="eastAsia" w:ascii="宋体" w:hAnsi="宋体" w:eastAsia="宋体" w:cs="宋体"/>
          <w:color w:val="auto"/>
          <w:sz w:val="24"/>
          <w:szCs w:val="24"/>
          <w:highlight w:val="none"/>
          <w:shd w:val="clear" w:color="auto" w:fill="FFFFFF"/>
        </w:rPr>
      </w:pPr>
    </w:p>
    <w:p w14:paraId="5CDE342D">
      <w:pPr>
        <w:pStyle w:val="50"/>
        <w:spacing w:before="30" w:beforeAutospacing="0" w:after="30" w:afterAutospacing="0" w:line="0" w:lineRule="atLeast"/>
        <w:rPr>
          <w:rFonts w:hint="eastAsia" w:ascii="宋体" w:hAnsi="宋体" w:eastAsia="宋体" w:cs="宋体"/>
          <w:color w:val="auto"/>
          <w:sz w:val="24"/>
          <w:szCs w:val="24"/>
          <w:highlight w:val="none"/>
          <w:shd w:val="clear" w:color="auto" w:fill="FFFFFF"/>
        </w:rPr>
      </w:pPr>
    </w:p>
    <w:p w14:paraId="2DABE7C0">
      <w:pPr>
        <w:pStyle w:val="50"/>
        <w:spacing w:before="30" w:beforeAutospacing="0" w:after="30" w:afterAutospacing="0" w:line="0" w:lineRule="atLeast"/>
        <w:rPr>
          <w:rFonts w:hint="eastAsia" w:ascii="宋体" w:hAnsi="宋体" w:eastAsia="宋体" w:cs="宋体"/>
          <w:color w:val="auto"/>
          <w:sz w:val="24"/>
          <w:szCs w:val="24"/>
          <w:highlight w:val="none"/>
          <w:shd w:val="clear" w:color="auto" w:fill="FFFFFF"/>
        </w:rPr>
      </w:pPr>
    </w:p>
    <w:p w14:paraId="7AA6954F">
      <w:pPr>
        <w:pStyle w:val="50"/>
        <w:spacing w:before="30" w:beforeAutospacing="0" w:after="30" w:afterAutospacing="0" w:line="0" w:lineRule="atLeast"/>
        <w:rPr>
          <w:rFonts w:hint="eastAsia" w:ascii="宋体" w:hAnsi="宋体" w:eastAsia="宋体" w:cs="宋体"/>
          <w:color w:val="auto"/>
          <w:sz w:val="24"/>
          <w:szCs w:val="24"/>
          <w:highlight w:val="none"/>
          <w:shd w:val="clear" w:color="auto" w:fill="FFFFFF"/>
        </w:rPr>
      </w:pPr>
    </w:p>
    <w:p w14:paraId="0E213277">
      <w:pPr>
        <w:pStyle w:val="50"/>
        <w:spacing w:before="30" w:beforeAutospacing="0" w:after="30" w:afterAutospacing="0" w:line="0" w:lineRule="atLeast"/>
        <w:rPr>
          <w:rFonts w:hint="eastAsia" w:ascii="宋体" w:hAnsi="宋体" w:eastAsia="宋体" w:cs="宋体"/>
          <w:color w:val="auto"/>
          <w:sz w:val="24"/>
          <w:szCs w:val="24"/>
          <w:highlight w:val="none"/>
          <w:shd w:val="clear" w:color="auto" w:fill="FFFFFF"/>
        </w:rPr>
      </w:pPr>
    </w:p>
    <w:p w14:paraId="65D7E39C">
      <w:pPr>
        <w:pStyle w:val="50"/>
        <w:spacing w:before="30" w:beforeAutospacing="0" w:after="3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shd w:val="clear" w:color="auto" w:fill="FFFFFF"/>
        </w:rPr>
        <w:t>__________________</w:t>
      </w:r>
    </w:p>
    <w:p w14:paraId="152BD88B">
      <w:pPr>
        <w:pStyle w:val="50"/>
        <w:spacing w:before="30" w:beforeAutospacing="0" w:after="3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shd w:val="clear" w:color="auto" w:fill="FFFFFF"/>
        </w:rPr>
        <w:t>1.产品如有型号，请在“产品名称”栏一并填写。</w:t>
      </w:r>
    </w:p>
    <w:p w14:paraId="4DD07CE0">
      <w:pPr>
        <w:pStyle w:val="50"/>
        <w:spacing w:before="30" w:beforeAutospacing="0" w:after="3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shd w:val="clear" w:color="auto" w:fill="FFFFFF"/>
        </w:rPr>
        <w:t>2.生产厂名与厂址应与生产厂营业执照载明的相关信息保持一致。</w:t>
      </w:r>
    </w:p>
    <w:p w14:paraId="5E1D0765">
      <w:pPr>
        <w:pStyle w:val="50"/>
        <w:spacing w:before="30" w:beforeAutospacing="0" w:after="3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shd w:val="clear" w:color="auto" w:fill="FFFFFF"/>
        </w:rPr>
        <w:t>3.该产品的中国境内生产的组件成本占比相关要求实施前，“规定比例”栏可不填，下同。</w:t>
      </w:r>
    </w:p>
    <w:p w14:paraId="782593DA">
      <w:pPr>
        <w:pStyle w:val="50"/>
        <w:spacing w:before="30" w:beforeAutospacing="0" w:after="3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shd w:val="clear" w:color="auto" w:fill="FFFFFF"/>
        </w:rPr>
        <w:t>4.该产品的关键组件要求实施前，“关键组件”栏可不填，下同。</w:t>
      </w:r>
    </w:p>
    <w:p w14:paraId="1A3F94BA">
      <w:pPr>
        <w:pStyle w:val="50"/>
        <w:spacing w:before="30" w:beforeAutospacing="0" w:after="30" w:afterAutospacing="0" w:line="0" w:lineRule="atLeast"/>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5.该产品的关键工序要求实施前，“关键工序”栏可不填，下同。</w:t>
      </w:r>
    </w:p>
    <w:p w14:paraId="70CB5469">
      <w:pPr>
        <w:pStyle w:val="50"/>
        <w:spacing w:before="30" w:beforeAutospacing="0" w:after="30" w:afterAutospacing="0" w:line="0" w:lineRule="atLeast"/>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6.用斜线划除的地方无需填写。</w:t>
      </w:r>
    </w:p>
    <w:sectPr>
      <w:footerReference r:id="rId13" w:type="first"/>
      <w:footerReference r:id="rId12" w:type="default"/>
      <w:pgSz w:w="11907" w:h="16840"/>
      <w:pgMar w:top="1134" w:right="882" w:bottom="1418" w:left="1365" w:header="567" w:footer="794" w:gutter="0"/>
      <w:pgNumType w:fmt="decimal"/>
      <w:cols w:space="720" w:num="1"/>
      <w:titlePg/>
      <w:docGrid w:type="lines" w:linePitch="305"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楷体_GB2312">
    <w:altName w:val="楷体"/>
    <w:panose1 w:val="02010609030101010101"/>
    <w:charset w:val="86"/>
    <w:family w:val="modern"/>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Calibri Light">
    <w:panose1 w:val="020F0302020204030204"/>
    <w:charset w:val="00"/>
    <w:family w:val="swiss"/>
    <w:pitch w:val="default"/>
    <w:sig w:usb0="E4002EFF" w:usb1="C000247B" w:usb2="00000009" w:usb3="00000000" w:csb0="200001FF"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monospace">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Tahoma">
    <w:panose1 w:val="020B0604030504040204"/>
    <w:charset w:val="00"/>
    <w:family w:val="swiss"/>
    <w:pitch w:val="default"/>
    <w:sig w:usb0="E1002EFF" w:usb1="C000605B" w:usb2="00000029" w:usb3="00000000" w:csb0="200101FF" w:csb1="20280000"/>
  </w:font>
  <w:font w:name="Berlin Sans FB Demi">
    <w:altName w:val="Segoe Print"/>
    <w:panose1 w:val="020E0802020502020306"/>
    <w:charset w:val="00"/>
    <w:family w:val="swiss"/>
    <w:pitch w:val="default"/>
    <w:sig w:usb0="00000000" w:usb1="00000000" w:usb2="00000000" w:usb3="00000000" w:csb0="20000001" w:csb1="00000000"/>
  </w:font>
  <w:font w:name="MS Mincho">
    <w:altName w:val="Segoe Print"/>
    <w:panose1 w:val="00000000000000000000"/>
    <w:charset w:val="00"/>
    <w:family w:val="auto"/>
    <w:pitch w:val="default"/>
    <w:sig w:usb0="00000000" w:usb1="00000000" w:usb2="00000000" w:usb3="00000000" w:csb0="00000000" w:csb1="00000000"/>
  </w:font>
  <w:font w:name="微软雅黑">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DA8C074">
    <w:pPr>
      <w:pStyle w:val="33"/>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BF72D4B">
    <w:pPr>
      <w:pStyle w:val="33"/>
      <w:framePr w:wrap="around" w:vAnchor="text" w:hAnchor="margin" w:xAlign="right" w:y="1"/>
      <w:rPr>
        <w:rStyle w:val="58"/>
      </w:rPr>
    </w:pPr>
    <w:r>
      <w:fldChar w:fldCharType="begin"/>
    </w:r>
    <w:r>
      <w:rPr>
        <w:rStyle w:val="58"/>
      </w:rPr>
      <w:instrText xml:space="preserve">PAGE  </w:instrText>
    </w:r>
    <w:r>
      <w:fldChar w:fldCharType="separate"/>
    </w:r>
    <w:r>
      <w:rPr>
        <w:rStyle w:val="58"/>
      </w:rPr>
      <w:t>16</w:t>
    </w:r>
    <w:r>
      <w:fldChar w:fldCharType="end"/>
    </w:r>
  </w:p>
  <w:p w14:paraId="1334BB12">
    <w:pPr>
      <w:pStyle w:val="33"/>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157449F">
    <w:pPr>
      <w:pStyle w:val="33"/>
      <w:ind w:right="360"/>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A42ED6A">
    <w:pPr>
      <w:pStyle w:val="33"/>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4D1C35F">
    <w:pPr>
      <w:pStyle w:val="33"/>
      <w:ind w:right="360"/>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D0023ED">
                          <w:pPr>
                            <w:pStyle w:val="33"/>
                          </w:pPr>
                          <w:r>
                            <w:fldChar w:fldCharType="begin"/>
                          </w:r>
                          <w:r>
                            <w:instrText xml:space="preserve"> PAGE  \* MERGEFORMAT </w:instrText>
                          </w:r>
                          <w:r>
                            <w:fldChar w:fldCharType="separate"/>
                          </w:r>
                          <w:r>
                            <w:t>2</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PWLh2QyAgAAYQQAAA4AAABkcnMvZTJvRG9jLnhtbK1UzY7TMBC+I/EO&#10;lu80aRG7Vd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9YuHZDICAABhBAAADgAAAAAAAAABACAAAAAfAQAAZHJzL2Uyb0RvYy54bWxQSwUG&#10;AAAAAAYABgBZAQAAwwUAAAAA&#10;">
              <v:fill on="f" focussize="0,0"/>
              <v:stroke on="f" weight="0.5pt"/>
              <v:imagedata o:title=""/>
              <o:lock v:ext="edit" aspectratio="f"/>
              <v:textbox inset="0mm,0mm,0mm,0mm" style="mso-fit-shape-to-text:t;">
                <w:txbxContent>
                  <w:p w14:paraId="0D0023ED">
                    <w:pPr>
                      <w:pStyle w:val="33"/>
                    </w:pPr>
                    <w:r>
                      <w:fldChar w:fldCharType="begin"/>
                    </w:r>
                    <w:r>
                      <w:instrText xml:space="preserve"> PAGE  \* MERGEFORMAT </w:instrText>
                    </w:r>
                    <w:r>
                      <w:fldChar w:fldCharType="separate"/>
                    </w:r>
                    <w:r>
                      <w:t>2</w:t>
                    </w:r>
                    <w:r>
                      <w:fldChar w:fldCharType="end"/>
                    </w: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71FE8F7">
    <w:pPr>
      <w:pStyle w:val="33"/>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8400D9A">
                          <w:pPr>
                            <w:pStyle w:val="33"/>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eXtc4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DHl7XOMQIAAGEEAAAOAAAAAAAAAAEAIAAAAB8BAABkcnMvZTJvRG9jLnhtbFBLBQYA&#10;AAAABgAGAFkBAADCBQAAAAA=&#10;">
              <v:fill on="f" focussize="0,0"/>
              <v:stroke on="f" weight="0.5pt"/>
              <v:imagedata o:title=""/>
              <o:lock v:ext="edit" aspectratio="f"/>
              <v:textbox inset="0mm,0mm,0mm,0mm" style="mso-fit-shape-to-text:t;">
                <w:txbxContent>
                  <w:p w14:paraId="28400D9A">
                    <w:pPr>
                      <w:pStyle w:val="33"/>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37B64EB">
    <w:pPr>
      <w:pStyle w:val="33"/>
      <w:ind w:right="360"/>
      <w:jc w:val="center"/>
    </w:pPr>
    <w:r>
      <w:rPr>
        <w:sz w:val="1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11" name="文本框 1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0DCF47A">
                          <w:pPr>
                            <w:pStyle w:val="33"/>
                          </w:pPr>
                          <w:r>
                            <w:fldChar w:fldCharType="begin"/>
                          </w:r>
                          <w:r>
                            <w:instrText xml:space="preserve"> PAGE  \* MERGEFORMAT </w:instrText>
                          </w:r>
                          <w:r>
                            <w:fldChar w:fldCharType="separate"/>
                          </w:r>
                          <w:r>
                            <w:t>0</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DrADh6MQIAAGMEAAAOAAAAAAAAAAEAIAAAAB8BAABkcnMvZTJvRG9jLnhtbFBLBQYA&#10;AAAABgAGAFkBAADCBQAAAAA=&#10;">
              <v:fill on="f" focussize="0,0"/>
              <v:stroke on="f" weight="0.5pt"/>
              <v:imagedata o:title=""/>
              <o:lock v:ext="edit" aspectratio="f"/>
              <v:textbox inset="0mm,0mm,0mm,0mm" style="mso-fit-shape-to-text:t;">
                <w:txbxContent>
                  <w:p w14:paraId="70DCF47A">
                    <w:pPr>
                      <w:pStyle w:val="33"/>
                    </w:pPr>
                    <w:r>
                      <w:fldChar w:fldCharType="begin"/>
                    </w:r>
                    <w:r>
                      <w:instrText xml:space="preserve"> PAGE  \* MERGEFORMAT </w:instrText>
                    </w:r>
                    <w:r>
                      <w:fldChar w:fldCharType="separate"/>
                    </w:r>
                    <w:r>
                      <w:t>0</w:t>
                    </w:r>
                    <w:r>
                      <w:fldChar w:fldCharType="end"/>
                    </w:r>
                  </w:p>
                </w:txbxContent>
              </v:textbox>
            </v:shape>
          </w:pict>
        </mc:Fallback>
      </mc:AlternateConten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ECFDF01">
    <w:pPr>
      <w:pStyle w:val="33"/>
    </w:pPr>
    <w:r>
      <w:rPr>
        <w:sz w:val="18"/>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12" name="文本框 1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AE3F7B1">
                          <w:pPr>
                            <w:pStyle w:val="33"/>
                          </w:pPr>
                          <w:r>
                            <w:fldChar w:fldCharType="begin"/>
                          </w:r>
                          <w:r>
                            <w:instrText xml:space="preserve"> PAGE  \* MERGEFORMAT </w:instrText>
                          </w:r>
                          <w:r>
                            <w:fldChar w:fldCharType="separate"/>
                          </w:r>
                          <w:r>
                            <w:t>49</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z+8ZExAgAAYw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s/vGRMQIAAGMEAAAOAAAAAAAAAAEAIAAAAB8BAABkcnMvZTJvRG9jLnhtbFBLBQYA&#10;AAAABgAGAFkBAADCBQAAAAA=&#10;">
              <v:fill on="f" focussize="0,0"/>
              <v:stroke on="f" weight="0.5pt"/>
              <v:imagedata o:title=""/>
              <o:lock v:ext="edit" aspectratio="f"/>
              <v:textbox inset="0mm,0mm,0mm,0mm" style="mso-fit-shape-to-text:t;">
                <w:txbxContent>
                  <w:p w14:paraId="4AE3F7B1">
                    <w:pPr>
                      <w:pStyle w:val="33"/>
                    </w:pPr>
                    <w:r>
                      <w:fldChar w:fldCharType="begin"/>
                    </w:r>
                    <w:r>
                      <w:instrText xml:space="preserve"> PAGE  \* MERGEFORMAT </w:instrText>
                    </w:r>
                    <w:r>
                      <w:fldChar w:fldCharType="separate"/>
                    </w:r>
                    <w:r>
                      <w:t>49</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66FB807">
    <w:pPr>
      <w:spacing w:line="360" w:lineRule="auto"/>
      <w:jc w:val="left"/>
      <w:rPr>
        <w:rFonts w:hint="eastAsia" w:eastAsia="宋体"/>
        <w:lang w:eastAsia="zh-CN"/>
      </w:rPr>
    </w:pPr>
    <w:r>
      <w:rPr>
        <w:rFonts w:hint="eastAsia"/>
        <w:bCs/>
        <w:sz w:val="18"/>
        <w:szCs w:val="18"/>
        <w:lang w:eastAsia="zh-CN"/>
      </w:rPr>
      <w:t>苏州信达顺工程建设咨询有限公司</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134BA9A">
    <w:pPr>
      <w:pStyle w:val="35"/>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C01F0B0">
    <w:pPr>
      <w:pStyle w:val="35"/>
      <w:pBdr>
        <w:bottom w:val="none" w:color="auto" w:sz="0" w:space="1"/>
      </w:pBdr>
      <w:tabs>
        <w:tab w:val="left" w:pos="3355"/>
        <w:tab w:val="clear" w:pos="4153"/>
      </w:tabs>
      <w:jc w:val="left"/>
    </w:pPr>
    <w:r>
      <w:rPr>
        <w:rFonts w:hint="eastAsia"/>
        <w:lang w:eastAsia="zh-CN"/>
      </w:rPr>
      <w:t>苏州信达顺工程建设咨询有限公司</w:t>
    </w:r>
    <w:r>
      <w:rPr>
        <w:rFonts w:hint="eastAsia"/>
      </w:rPr>
      <w:tab/>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76C24B3"/>
    <w:multiLevelType w:val="singleLevel"/>
    <w:tmpl w:val="976C24B3"/>
    <w:lvl w:ilvl="0" w:tentative="0">
      <w:start w:val="1"/>
      <w:numFmt w:val="decimal"/>
      <w:suff w:val="space"/>
      <w:lvlText w:val="%1."/>
      <w:lvlJc w:val="left"/>
    </w:lvl>
  </w:abstractNum>
  <w:abstractNum w:abstractNumId="1">
    <w:nsid w:val="0A0C2485"/>
    <w:multiLevelType w:val="multilevel"/>
    <w:tmpl w:val="0A0C2485"/>
    <w:lvl w:ilvl="0" w:tentative="0">
      <w:start w:val="1"/>
      <w:numFmt w:val="decimal"/>
      <w:pStyle w:val="147"/>
      <w:lvlText w:val="%1、"/>
      <w:lvlJc w:val="left"/>
      <w:pPr>
        <w:tabs>
          <w:tab w:val="left" w:pos="3211"/>
        </w:tabs>
        <w:ind w:left="3211" w:hanging="375"/>
      </w:pPr>
      <w:rPr>
        <w:rFonts w:hint="eastAsia"/>
      </w:rPr>
    </w:lvl>
    <w:lvl w:ilvl="1" w:tentative="0">
      <w:start w:val="1"/>
      <w:numFmt w:val="lowerLetter"/>
      <w:lvlText w:val="%2)"/>
      <w:lvlJc w:val="left"/>
      <w:pPr>
        <w:tabs>
          <w:tab w:val="left" w:pos="3676"/>
        </w:tabs>
        <w:ind w:left="3676" w:hanging="420"/>
      </w:pPr>
    </w:lvl>
    <w:lvl w:ilvl="2" w:tentative="0">
      <w:start w:val="1"/>
      <w:numFmt w:val="lowerRoman"/>
      <w:lvlText w:val="%3."/>
      <w:lvlJc w:val="right"/>
      <w:pPr>
        <w:tabs>
          <w:tab w:val="left" w:pos="4096"/>
        </w:tabs>
        <w:ind w:left="4096" w:hanging="420"/>
      </w:pPr>
    </w:lvl>
    <w:lvl w:ilvl="3" w:tentative="0">
      <w:start w:val="1"/>
      <w:numFmt w:val="decimal"/>
      <w:lvlText w:val="%4."/>
      <w:lvlJc w:val="left"/>
      <w:pPr>
        <w:tabs>
          <w:tab w:val="left" w:pos="4516"/>
        </w:tabs>
        <w:ind w:left="4516" w:hanging="420"/>
      </w:pPr>
    </w:lvl>
    <w:lvl w:ilvl="4" w:tentative="0">
      <w:start w:val="1"/>
      <w:numFmt w:val="lowerLetter"/>
      <w:lvlText w:val="%5)"/>
      <w:lvlJc w:val="left"/>
      <w:pPr>
        <w:tabs>
          <w:tab w:val="left" w:pos="4936"/>
        </w:tabs>
        <w:ind w:left="4936" w:hanging="420"/>
      </w:pPr>
    </w:lvl>
    <w:lvl w:ilvl="5" w:tentative="0">
      <w:start w:val="1"/>
      <w:numFmt w:val="lowerRoman"/>
      <w:lvlText w:val="%6."/>
      <w:lvlJc w:val="right"/>
      <w:pPr>
        <w:tabs>
          <w:tab w:val="left" w:pos="5356"/>
        </w:tabs>
        <w:ind w:left="5356" w:hanging="420"/>
      </w:pPr>
    </w:lvl>
    <w:lvl w:ilvl="6" w:tentative="0">
      <w:start w:val="1"/>
      <w:numFmt w:val="decimal"/>
      <w:lvlText w:val="%7."/>
      <w:lvlJc w:val="left"/>
      <w:pPr>
        <w:tabs>
          <w:tab w:val="left" w:pos="5776"/>
        </w:tabs>
        <w:ind w:left="5776" w:hanging="420"/>
      </w:pPr>
    </w:lvl>
    <w:lvl w:ilvl="7" w:tentative="0">
      <w:start w:val="1"/>
      <w:numFmt w:val="lowerLetter"/>
      <w:lvlText w:val="%8)"/>
      <w:lvlJc w:val="left"/>
      <w:pPr>
        <w:tabs>
          <w:tab w:val="left" w:pos="6196"/>
        </w:tabs>
        <w:ind w:left="6196" w:hanging="420"/>
      </w:pPr>
    </w:lvl>
    <w:lvl w:ilvl="8" w:tentative="0">
      <w:start w:val="1"/>
      <w:numFmt w:val="lowerRoman"/>
      <w:lvlText w:val="%9."/>
      <w:lvlJc w:val="right"/>
      <w:pPr>
        <w:tabs>
          <w:tab w:val="left" w:pos="6616"/>
        </w:tabs>
        <w:ind w:left="6616" w:hanging="420"/>
      </w:pPr>
    </w:lvl>
  </w:abstractNum>
  <w:abstractNum w:abstractNumId="2">
    <w:nsid w:val="240D3E5A"/>
    <w:multiLevelType w:val="singleLevel"/>
    <w:tmpl w:val="240D3E5A"/>
    <w:lvl w:ilvl="0" w:tentative="0">
      <w:start w:val="1"/>
      <w:numFmt w:val="decimal"/>
      <w:pStyle w:val="144"/>
      <w:lvlText w:val="%1、"/>
      <w:lvlJc w:val="left"/>
      <w:pPr>
        <w:tabs>
          <w:tab w:val="left" w:pos="480"/>
        </w:tabs>
        <w:ind w:left="480" w:hanging="480"/>
      </w:pPr>
      <w:rPr>
        <w:rFonts w:hint="eastAsia"/>
      </w:rPr>
    </w:lvl>
  </w:abstractNum>
  <w:abstractNum w:abstractNumId="3">
    <w:nsid w:val="420C153B"/>
    <w:multiLevelType w:val="multilevel"/>
    <w:tmpl w:val="420C153B"/>
    <w:lvl w:ilvl="0" w:tentative="0">
      <w:start w:val="1"/>
      <w:numFmt w:val="decimal"/>
      <w:pStyle w:val="148"/>
      <w:lvlText w:val="%1."/>
      <w:lvlJc w:val="left"/>
      <w:pPr>
        <w:tabs>
          <w:tab w:val="left" w:pos="709"/>
        </w:tabs>
        <w:ind w:left="709" w:hanging="709"/>
      </w:pPr>
      <w:rPr>
        <w:rFonts w:hint="eastAsia"/>
      </w:rPr>
    </w:lvl>
    <w:lvl w:ilvl="1" w:tentative="0">
      <w:start w:val="1"/>
      <w:numFmt w:val="decimal"/>
      <w:lvlText w:val="%1.%2"/>
      <w:lvlJc w:val="left"/>
      <w:pPr>
        <w:tabs>
          <w:tab w:val="left" w:pos="709"/>
        </w:tabs>
        <w:ind w:left="709" w:hanging="709"/>
      </w:pPr>
      <w:rPr>
        <w:rFonts w:hint="eastAsia"/>
        <w:color w:val="auto"/>
      </w:rPr>
    </w:lvl>
    <w:lvl w:ilvl="2" w:tentative="0">
      <w:start w:val="1"/>
      <w:numFmt w:val="decimal"/>
      <w:lvlText w:val="%1.%2.%3."/>
      <w:lvlJc w:val="left"/>
      <w:pPr>
        <w:tabs>
          <w:tab w:val="left" w:pos="425"/>
        </w:tabs>
        <w:ind w:left="425" w:hanging="425"/>
      </w:pPr>
      <w:rPr>
        <w:rFonts w:hint="eastAsia"/>
      </w:rPr>
    </w:lvl>
    <w:lvl w:ilvl="3" w:tentative="0">
      <w:start w:val="1"/>
      <w:numFmt w:val="decimal"/>
      <w:lvlText w:val="%1.%2.%3.%4."/>
      <w:lvlJc w:val="left"/>
      <w:pPr>
        <w:tabs>
          <w:tab w:val="left" w:pos="851"/>
        </w:tabs>
        <w:ind w:left="851" w:hanging="851"/>
      </w:pPr>
      <w:rPr>
        <w:rFonts w:hint="eastAsia"/>
      </w:rPr>
    </w:lvl>
    <w:lvl w:ilvl="4" w:tentative="0">
      <w:start w:val="1"/>
      <w:numFmt w:val="decimal"/>
      <w:lvlText w:val="%1.%2.%3.%4.%5."/>
      <w:lvlJc w:val="left"/>
      <w:pPr>
        <w:tabs>
          <w:tab w:val="left" w:pos="992"/>
        </w:tabs>
        <w:ind w:left="992" w:hanging="992"/>
      </w:pPr>
      <w:rPr>
        <w:rFonts w:hint="eastAsia"/>
      </w:rPr>
    </w:lvl>
    <w:lvl w:ilvl="5" w:tentative="0">
      <w:start w:val="1"/>
      <w:numFmt w:val="decimal"/>
      <w:lvlText w:val="%1.%2.%3.%4.%5.%6."/>
      <w:lvlJc w:val="left"/>
      <w:pPr>
        <w:tabs>
          <w:tab w:val="left" w:pos="1134"/>
        </w:tabs>
        <w:ind w:left="1134" w:hanging="1134"/>
      </w:pPr>
      <w:rPr>
        <w:rFonts w:hint="eastAsia"/>
      </w:rPr>
    </w:lvl>
    <w:lvl w:ilvl="6" w:tentative="0">
      <w:start w:val="1"/>
      <w:numFmt w:val="decimal"/>
      <w:lvlText w:val="%1.%2.%3.%4.%5.%6.%7."/>
      <w:lvlJc w:val="left"/>
      <w:pPr>
        <w:tabs>
          <w:tab w:val="left" w:pos="1276"/>
        </w:tabs>
        <w:ind w:left="1276" w:hanging="1276"/>
      </w:pPr>
      <w:rPr>
        <w:rFonts w:hint="eastAsia"/>
      </w:rPr>
    </w:lvl>
    <w:lvl w:ilvl="7" w:tentative="0">
      <w:start w:val="1"/>
      <w:numFmt w:val="decimal"/>
      <w:lvlText w:val="%1.%2.%3.%4.%5.%6.%7.%8."/>
      <w:lvlJc w:val="left"/>
      <w:pPr>
        <w:tabs>
          <w:tab w:val="left" w:pos="1418"/>
        </w:tabs>
        <w:ind w:left="1418" w:hanging="1418"/>
      </w:pPr>
      <w:rPr>
        <w:rFonts w:hint="eastAsia"/>
      </w:rPr>
    </w:lvl>
    <w:lvl w:ilvl="8" w:tentative="0">
      <w:start w:val="1"/>
      <w:numFmt w:val="decimal"/>
      <w:lvlText w:val="%1.%2.%3.%4.%5.%6.%7.%8.%9."/>
      <w:lvlJc w:val="left"/>
      <w:pPr>
        <w:tabs>
          <w:tab w:val="left" w:pos="1559"/>
        </w:tabs>
        <w:ind w:left="1559" w:hanging="1559"/>
      </w:pPr>
      <w:rPr>
        <w:rFonts w:hint="eastAsia"/>
      </w:rPr>
    </w:lvl>
  </w:abstractNum>
  <w:num w:numId="1">
    <w:abstractNumId w:val="2"/>
  </w:num>
  <w:num w:numId="2">
    <w:abstractNumId w:val="1"/>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cumentProtection w:enforcement="0"/>
  <w:defaultTabStop w:val="425"/>
  <w:drawingGridHorizontalSpacing w:val="105"/>
  <w:drawingGridVerticalSpacing w:val="305"/>
  <w:displayHorizontalDrawingGridEvery w:val="1"/>
  <w:displayVerticalDrawingGridEvery w:val="1"/>
  <w:noPunctuationKerning w:val="1"/>
  <w:characterSpacingControl w:val="compressPunctuation"/>
  <w:compat>
    <w:spaceForUL/>
    <w:balanceSingleByteDoubleByteWidth/>
    <w:doNotLeaveBackslashAlone/>
    <w:ulTrailSpace/>
    <w:doNotExpandShiftReturn/>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zc2ODQ5ZjVhOWM2ZDA2MGQ2ZjM3ZWM1NzNlYWMyOTIifQ=="/>
  </w:docVars>
  <w:rsids>
    <w:rsidRoot w:val="00000000"/>
    <w:rsid w:val="007A6F63"/>
    <w:rsid w:val="00DC19CB"/>
    <w:rsid w:val="016E7001"/>
    <w:rsid w:val="017D7CB9"/>
    <w:rsid w:val="018427B1"/>
    <w:rsid w:val="01AF2197"/>
    <w:rsid w:val="01B805A0"/>
    <w:rsid w:val="02316394"/>
    <w:rsid w:val="024535A0"/>
    <w:rsid w:val="02497807"/>
    <w:rsid w:val="028435BA"/>
    <w:rsid w:val="02BC1AB4"/>
    <w:rsid w:val="02E23197"/>
    <w:rsid w:val="03045209"/>
    <w:rsid w:val="03254D1C"/>
    <w:rsid w:val="03C2759E"/>
    <w:rsid w:val="044A30F0"/>
    <w:rsid w:val="04B6602C"/>
    <w:rsid w:val="051F6EF7"/>
    <w:rsid w:val="05642180"/>
    <w:rsid w:val="05A42D79"/>
    <w:rsid w:val="05B42F17"/>
    <w:rsid w:val="067231EA"/>
    <w:rsid w:val="06913A7D"/>
    <w:rsid w:val="06943D50"/>
    <w:rsid w:val="06B121A9"/>
    <w:rsid w:val="06D575E9"/>
    <w:rsid w:val="06DB1450"/>
    <w:rsid w:val="07140111"/>
    <w:rsid w:val="07691ADF"/>
    <w:rsid w:val="07754928"/>
    <w:rsid w:val="07E61D1F"/>
    <w:rsid w:val="08053EFD"/>
    <w:rsid w:val="088C3CD7"/>
    <w:rsid w:val="089D5EE4"/>
    <w:rsid w:val="08F06236"/>
    <w:rsid w:val="09541AF9"/>
    <w:rsid w:val="096C4286"/>
    <w:rsid w:val="09756E61"/>
    <w:rsid w:val="09C851E3"/>
    <w:rsid w:val="09F3337E"/>
    <w:rsid w:val="0A014251"/>
    <w:rsid w:val="0B2C53D9"/>
    <w:rsid w:val="0B6F575C"/>
    <w:rsid w:val="0BA352C2"/>
    <w:rsid w:val="0BED3B07"/>
    <w:rsid w:val="0C315D92"/>
    <w:rsid w:val="0CA34D21"/>
    <w:rsid w:val="0CB93F39"/>
    <w:rsid w:val="0E611762"/>
    <w:rsid w:val="0EBE6BB4"/>
    <w:rsid w:val="0F096081"/>
    <w:rsid w:val="0FE20680"/>
    <w:rsid w:val="115B275C"/>
    <w:rsid w:val="116810DC"/>
    <w:rsid w:val="1168155A"/>
    <w:rsid w:val="117479FE"/>
    <w:rsid w:val="11753049"/>
    <w:rsid w:val="11E44B84"/>
    <w:rsid w:val="12595934"/>
    <w:rsid w:val="127C6B6A"/>
    <w:rsid w:val="12CE17ED"/>
    <w:rsid w:val="136E6DFB"/>
    <w:rsid w:val="13960100"/>
    <w:rsid w:val="13E96481"/>
    <w:rsid w:val="13F84916"/>
    <w:rsid w:val="14925EBC"/>
    <w:rsid w:val="14DA6720"/>
    <w:rsid w:val="14E07884"/>
    <w:rsid w:val="153B4ABB"/>
    <w:rsid w:val="15406575"/>
    <w:rsid w:val="15E06307"/>
    <w:rsid w:val="161F262E"/>
    <w:rsid w:val="162639BD"/>
    <w:rsid w:val="162966BF"/>
    <w:rsid w:val="16582103"/>
    <w:rsid w:val="16D537EC"/>
    <w:rsid w:val="16E11692"/>
    <w:rsid w:val="174A36DB"/>
    <w:rsid w:val="17B375F3"/>
    <w:rsid w:val="18441ED8"/>
    <w:rsid w:val="1899542E"/>
    <w:rsid w:val="18EE5AFB"/>
    <w:rsid w:val="19052DB4"/>
    <w:rsid w:val="19A54BF8"/>
    <w:rsid w:val="19E245FB"/>
    <w:rsid w:val="1A187AC0"/>
    <w:rsid w:val="1AAE27E2"/>
    <w:rsid w:val="1B1C6F45"/>
    <w:rsid w:val="1B4E7589"/>
    <w:rsid w:val="1BA3160C"/>
    <w:rsid w:val="1BA62EAA"/>
    <w:rsid w:val="1BDB6FF7"/>
    <w:rsid w:val="1C2B1698"/>
    <w:rsid w:val="1C6A04D5"/>
    <w:rsid w:val="1C950FDC"/>
    <w:rsid w:val="1CD04FE7"/>
    <w:rsid w:val="1CE3428E"/>
    <w:rsid w:val="1D44297A"/>
    <w:rsid w:val="1D4B1F5B"/>
    <w:rsid w:val="1D5A03F0"/>
    <w:rsid w:val="1D5C4168"/>
    <w:rsid w:val="1D660B43"/>
    <w:rsid w:val="1DEF4D78"/>
    <w:rsid w:val="1E1A4152"/>
    <w:rsid w:val="1E8709DD"/>
    <w:rsid w:val="1E9426A9"/>
    <w:rsid w:val="1E9811D0"/>
    <w:rsid w:val="1E984D2C"/>
    <w:rsid w:val="1F083F61"/>
    <w:rsid w:val="1F4B0F6D"/>
    <w:rsid w:val="1FB76D9F"/>
    <w:rsid w:val="1FED554B"/>
    <w:rsid w:val="20126D60"/>
    <w:rsid w:val="20441CAB"/>
    <w:rsid w:val="20530B30"/>
    <w:rsid w:val="20CF4C51"/>
    <w:rsid w:val="20F16975"/>
    <w:rsid w:val="2100305C"/>
    <w:rsid w:val="21E61BFA"/>
    <w:rsid w:val="224B2454"/>
    <w:rsid w:val="22DF75EC"/>
    <w:rsid w:val="22EC1AEA"/>
    <w:rsid w:val="23052BAC"/>
    <w:rsid w:val="240E7983"/>
    <w:rsid w:val="24217571"/>
    <w:rsid w:val="24E43BD5"/>
    <w:rsid w:val="25893620"/>
    <w:rsid w:val="258E50DA"/>
    <w:rsid w:val="26FB22FC"/>
    <w:rsid w:val="286A3F94"/>
    <w:rsid w:val="288139C2"/>
    <w:rsid w:val="289974F2"/>
    <w:rsid w:val="28C826B1"/>
    <w:rsid w:val="28CF3A40"/>
    <w:rsid w:val="292D0766"/>
    <w:rsid w:val="29C25353"/>
    <w:rsid w:val="29C966E1"/>
    <w:rsid w:val="2A0C5796"/>
    <w:rsid w:val="2A377AEF"/>
    <w:rsid w:val="2AD4533E"/>
    <w:rsid w:val="2B345DDC"/>
    <w:rsid w:val="2BDB26FC"/>
    <w:rsid w:val="2C1C5DEC"/>
    <w:rsid w:val="2D0869DD"/>
    <w:rsid w:val="2D2325AC"/>
    <w:rsid w:val="2D2D51D9"/>
    <w:rsid w:val="2D377E06"/>
    <w:rsid w:val="2D3E1194"/>
    <w:rsid w:val="2D961579"/>
    <w:rsid w:val="2DA33405"/>
    <w:rsid w:val="2E3D7DE4"/>
    <w:rsid w:val="2E4C168F"/>
    <w:rsid w:val="2E663132"/>
    <w:rsid w:val="2EB56C3E"/>
    <w:rsid w:val="2ED37D47"/>
    <w:rsid w:val="2EF60667"/>
    <w:rsid w:val="2F4F47F1"/>
    <w:rsid w:val="2F5B602D"/>
    <w:rsid w:val="2F7C41F6"/>
    <w:rsid w:val="2FA86D99"/>
    <w:rsid w:val="2FF817EF"/>
    <w:rsid w:val="302E0AEA"/>
    <w:rsid w:val="30F62A82"/>
    <w:rsid w:val="30F760FE"/>
    <w:rsid w:val="31124E12"/>
    <w:rsid w:val="31A66B48"/>
    <w:rsid w:val="32221055"/>
    <w:rsid w:val="3261507D"/>
    <w:rsid w:val="32F82A88"/>
    <w:rsid w:val="338F22C1"/>
    <w:rsid w:val="33917C16"/>
    <w:rsid w:val="33D52FD5"/>
    <w:rsid w:val="33FE12C7"/>
    <w:rsid w:val="345D63A4"/>
    <w:rsid w:val="348E4BCA"/>
    <w:rsid w:val="34B01733"/>
    <w:rsid w:val="35327830"/>
    <w:rsid w:val="36213401"/>
    <w:rsid w:val="36237179"/>
    <w:rsid w:val="3632560E"/>
    <w:rsid w:val="36590DED"/>
    <w:rsid w:val="37092813"/>
    <w:rsid w:val="3710594F"/>
    <w:rsid w:val="374D4691"/>
    <w:rsid w:val="375021F0"/>
    <w:rsid w:val="38FF6DAB"/>
    <w:rsid w:val="39015A61"/>
    <w:rsid w:val="392F4087"/>
    <w:rsid w:val="3976564C"/>
    <w:rsid w:val="39BA6046"/>
    <w:rsid w:val="39C11183"/>
    <w:rsid w:val="3ABD5DEE"/>
    <w:rsid w:val="3AF31FCA"/>
    <w:rsid w:val="3B4F7E73"/>
    <w:rsid w:val="3B7B0116"/>
    <w:rsid w:val="3BAD23FE"/>
    <w:rsid w:val="3C050FE1"/>
    <w:rsid w:val="3C925059"/>
    <w:rsid w:val="3C9F4DCC"/>
    <w:rsid w:val="3D3954D4"/>
    <w:rsid w:val="3E0B50C2"/>
    <w:rsid w:val="3E3D1B80"/>
    <w:rsid w:val="3E58664B"/>
    <w:rsid w:val="3EC05EAD"/>
    <w:rsid w:val="3EC27CEC"/>
    <w:rsid w:val="3ED13738"/>
    <w:rsid w:val="3F9F1F66"/>
    <w:rsid w:val="3FEE0305"/>
    <w:rsid w:val="400F5396"/>
    <w:rsid w:val="403735C7"/>
    <w:rsid w:val="406F228D"/>
    <w:rsid w:val="40F57964"/>
    <w:rsid w:val="411D5D68"/>
    <w:rsid w:val="414814D6"/>
    <w:rsid w:val="41CA7043"/>
    <w:rsid w:val="41E365D3"/>
    <w:rsid w:val="420800E1"/>
    <w:rsid w:val="422E0127"/>
    <w:rsid w:val="422E312E"/>
    <w:rsid w:val="423050F8"/>
    <w:rsid w:val="424B1F31"/>
    <w:rsid w:val="428E1E1E"/>
    <w:rsid w:val="42C43A92"/>
    <w:rsid w:val="430345BA"/>
    <w:rsid w:val="441647C1"/>
    <w:rsid w:val="44617A04"/>
    <w:rsid w:val="44EF257E"/>
    <w:rsid w:val="45322F35"/>
    <w:rsid w:val="45BB0A1B"/>
    <w:rsid w:val="45F2370F"/>
    <w:rsid w:val="463351B6"/>
    <w:rsid w:val="46366A55"/>
    <w:rsid w:val="46B34C55"/>
    <w:rsid w:val="46FC5E48"/>
    <w:rsid w:val="47483BD9"/>
    <w:rsid w:val="477535AD"/>
    <w:rsid w:val="478423B8"/>
    <w:rsid w:val="47845A4C"/>
    <w:rsid w:val="47C214F6"/>
    <w:rsid w:val="48141018"/>
    <w:rsid w:val="481608EC"/>
    <w:rsid w:val="483671E0"/>
    <w:rsid w:val="488241D3"/>
    <w:rsid w:val="48BA396D"/>
    <w:rsid w:val="48F57B48"/>
    <w:rsid w:val="48FA4F21"/>
    <w:rsid w:val="49892AD5"/>
    <w:rsid w:val="498E0956"/>
    <w:rsid w:val="49AC6DDF"/>
    <w:rsid w:val="4A2319E6"/>
    <w:rsid w:val="4B1F3F5B"/>
    <w:rsid w:val="4B885FA4"/>
    <w:rsid w:val="4B9E7576"/>
    <w:rsid w:val="4BAB57EF"/>
    <w:rsid w:val="4CB61816"/>
    <w:rsid w:val="4D387820"/>
    <w:rsid w:val="4D886208"/>
    <w:rsid w:val="4DFE254E"/>
    <w:rsid w:val="4E2A252A"/>
    <w:rsid w:val="4E2E090E"/>
    <w:rsid w:val="4E347710"/>
    <w:rsid w:val="4E694017"/>
    <w:rsid w:val="4E8D4C9B"/>
    <w:rsid w:val="4EC20C7A"/>
    <w:rsid w:val="4EFE032C"/>
    <w:rsid w:val="4F730D1A"/>
    <w:rsid w:val="4F846A83"/>
    <w:rsid w:val="4F8A7CC1"/>
    <w:rsid w:val="4FF85C0B"/>
    <w:rsid w:val="50153B7F"/>
    <w:rsid w:val="5128035E"/>
    <w:rsid w:val="514C35D0"/>
    <w:rsid w:val="51A04992"/>
    <w:rsid w:val="521045FE"/>
    <w:rsid w:val="526B6ECC"/>
    <w:rsid w:val="52907621"/>
    <w:rsid w:val="52B01401"/>
    <w:rsid w:val="53195734"/>
    <w:rsid w:val="534743F1"/>
    <w:rsid w:val="537909EB"/>
    <w:rsid w:val="53894668"/>
    <w:rsid w:val="53915C12"/>
    <w:rsid w:val="53B26779"/>
    <w:rsid w:val="540D6097"/>
    <w:rsid w:val="54A11E85"/>
    <w:rsid w:val="54F226E1"/>
    <w:rsid w:val="55A439DB"/>
    <w:rsid w:val="56091A90"/>
    <w:rsid w:val="573E39BB"/>
    <w:rsid w:val="5779709E"/>
    <w:rsid w:val="577D08C4"/>
    <w:rsid w:val="581172F3"/>
    <w:rsid w:val="581962BE"/>
    <w:rsid w:val="58583B43"/>
    <w:rsid w:val="586535A7"/>
    <w:rsid w:val="58C44394"/>
    <w:rsid w:val="59A0095D"/>
    <w:rsid w:val="59A30A3D"/>
    <w:rsid w:val="59B937CD"/>
    <w:rsid w:val="5A395905"/>
    <w:rsid w:val="5B317BCF"/>
    <w:rsid w:val="5BA1777A"/>
    <w:rsid w:val="5BD25782"/>
    <w:rsid w:val="5BE53568"/>
    <w:rsid w:val="5C3F445D"/>
    <w:rsid w:val="5CA7478F"/>
    <w:rsid w:val="5CBC2F38"/>
    <w:rsid w:val="5CC20BEA"/>
    <w:rsid w:val="5CCE3A33"/>
    <w:rsid w:val="5D69672B"/>
    <w:rsid w:val="5D722610"/>
    <w:rsid w:val="5E412FF3"/>
    <w:rsid w:val="5E4F04B5"/>
    <w:rsid w:val="5E5B4E53"/>
    <w:rsid w:val="5E60542F"/>
    <w:rsid w:val="5E624433"/>
    <w:rsid w:val="5E9860A7"/>
    <w:rsid w:val="5ED13FD8"/>
    <w:rsid w:val="5F7F0C4B"/>
    <w:rsid w:val="5F9745B0"/>
    <w:rsid w:val="60563B54"/>
    <w:rsid w:val="60D43880"/>
    <w:rsid w:val="618172C6"/>
    <w:rsid w:val="61A36651"/>
    <w:rsid w:val="621B31EC"/>
    <w:rsid w:val="626C3AD2"/>
    <w:rsid w:val="628D7460"/>
    <w:rsid w:val="62BA4CF4"/>
    <w:rsid w:val="62D41677"/>
    <w:rsid w:val="62FE2F72"/>
    <w:rsid w:val="630E2DDB"/>
    <w:rsid w:val="632C3261"/>
    <w:rsid w:val="63402869"/>
    <w:rsid w:val="63661595"/>
    <w:rsid w:val="639F2CC3"/>
    <w:rsid w:val="63D538F9"/>
    <w:rsid w:val="640F5D56"/>
    <w:rsid w:val="643C5726"/>
    <w:rsid w:val="644C7B14"/>
    <w:rsid w:val="648D5F08"/>
    <w:rsid w:val="64966BE4"/>
    <w:rsid w:val="64A67531"/>
    <w:rsid w:val="64D149F3"/>
    <w:rsid w:val="65166BC7"/>
    <w:rsid w:val="651E4E2C"/>
    <w:rsid w:val="65573EA7"/>
    <w:rsid w:val="656C7B36"/>
    <w:rsid w:val="66207890"/>
    <w:rsid w:val="66B912B0"/>
    <w:rsid w:val="67B910C6"/>
    <w:rsid w:val="67CA0669"/>
    <w:rsid w:val="67E660D5"/>
    <w:rsid w:val="680447AD"/>
    <w:rsid w:val="68577B71"/>
    <w:rsid w:val="69004F74"/>
    <w:rsid w:val="6A815C41"/>
    <w:rsid w:val="6A86594D"/>
    <w:rsid w:val="6A9F62C3"/>
    <w:rsid w:val="6ACC74EE"/>
    <w:rsid w:val="6B2A452A"/>
    <w:rsid w:val="6B6E08BB"/>
    <w:rsid w:val="6BAC22B1"/>
    <w:rsid w:val="6C030919"/>
    <w:rsid w:val="6C872A2C"/>
    <w:rsid w:val="6CA669D4"/>
    <w:rsid w:val="6CD31260"/>
    <w:rsid w:val="6CFF5543"/>
    <w:rsid w:val="6D1E00BF"/>
    <w:rsid w:val="6D284A9A"/>
    <w:rsid w:val="6D7E75C4"/>
    <w:rsid w:val="6DAD7C67"/>
    <w:rsid w:val="6E9248C1"/>
    <w:rsid w:val="6EF17916"/>
    <w:rsid w:val="6FA83C70"/>
    <w:rsid w:val="702C1948"/>
    <w:rsid w:val="70324795"/>
    <w:rsid w:val="706E4EB9"/>
    <w:rsid w:val="70B24E65"/>
    <w:rsid w:val="70D9528D"/>
    <w:rsid w:val="70E42427"/>
    <w:rsid w:val="7141437C"/>
    <w:rsid w:val="71A5490B"/>
    <w:rsid w:val="71A87F57"/>
    <w:rsid w:val="71AE0F05"/>
    <w:rsid w:val="72975F55"/>
    <w:rsid w:val="72EE116F"/>
    <w:rsid w:val="73053378"/>
    <w:rsid w:val="731700C0"/>
    <w:rsid w:val="738F7621"/>
    <w:rsid w:val="73991F68"/>
    <w:rsid w:val="73B2330F"/>
    <w:rsid w:val="749E3AE2"/>
    <w:rsid w:val="757253FB"/>
    <w:rsid w:val="757F36C5"/>
    <w:rsid w:val="758E1B68"/>
    <w:rsid w:val="75915EA6"/>
    <w:rsid w:val="76151C14"/>
    <w:rsid w:val="766034F6"/>
    <w:rsid w:val="76757C8B"/>
    <w:rsid w:val="76843C6D"/>
    <w:rsid w:val="76CE6D0D"/>
    <w:rsid w:val="772A6DB7"/>
    <w:rsid w:val="77AE3DED"/>
    <w:rsid w:val="7825412C"/>
    <w:rsid w:val="78DC39C5"/>
    <w:rsid w:val="795E1371"/>
    <w:rsid w:val="7AA679AB"/>
    <w:rsid w:val="7BA75B50"/>
    <w:rsid w:val="7BE20509"/>
    <w:rsid w:val="7BFD3595"/>
    <w:rsid w:val="7C66650D"/>
    <w:rsid w:val="7CA37C99"/>
    <w:rsid w:val="7CA83501"/>
    <w:rsid w:val="7CB51C34"/>
    <w:rsid w:val="7CC7607D"/>
    <w:rsid w:val="7D7E3557"/>
    <w:rsid w:val="7D9677FD"/>
    <w:rsid w:val="7E0806FB"/>
    <w:rsid w:val="7E333009"/>
    <w:rsid w:val="7E357016"/>
    <w:rsid w:val="7E9006F1"/>
    <w:rsid w:val="7EB4065E"/>
    <w:rsid w:val="7F3C2D89"/>
    <w:rsid w:val="7F8E2E82"/>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9" w:semiHidden="0" w:name="heading 3"/>
    <w:lsdException w:qFormat="1" w:unhideWhenUsed="0" w:uiPriority="9" w:semiHidden="0" w:name="heading 4"/>
    <w:lsdException w:qFormat="1" w:unhideWhenUsed="0" w:uiPriority="9" w:semiHidden="0" w:name="heading 5"/>
    <w:lsdException w:qFormat="1" w:unhideWhenUsed="0" w:uiPriority="9" w:semiHidden="0" w:name="heading 6"/>
    <w:lsdException w:qFormat="1" w:unhideWhenUsed="0" w:uiPriority="9" w:semiHidden="0" w:name="heading 7"/>
    <w:lsdException w:qFormat="1" w:unhideWhenUsed="0" w:uiPriority="9" w:semiHidden="0" w:name="heading 8"/>
    <w:lsdException w:qFormat="1" w:unhideWhenUsed="0" w:uiPriority="9" w:semiHidden="0" w:name="heading 9"/>
    <w:lsdException w:qFormat="1" w:unhideWhenUsed="0" w:uiPriority="0" w:name="index 1"/>
    <w:lsdException w:qFormat="1" w:unhideWhenUsed="0" w:uiPriority="0" w:name="index 2"/>
    <w:lsdException w:qFormat="1" w:unhideWhenUsed="0" w:uiPriority="0" w:name="index 3"/>
    <w:lsdException w:qFormat="1" w:unhideWhenUsed="0" w:uiPriority="0" w:name="index 4"/>
    <w:lsdException w:qFormat="1" w:unhideWhenUsed="0" w:uiPriority="0" w:name="index 5"/>
    <w:lsdException w:qFormat="1" w:unhideWhenUsed="0" w:uiPriority="0" w:name="index 6"/>
    <w:lsdException w:qFormat="1" w:unhideWhenUsed="0" w:uiPriority="0" w:name="index 7"/>
    <w:lsdException w:qFormat="1" w:unhideWhenUsed="0" w:uiPriority="0" w:name="index 8"/>
    <w:lsdException w:qFormat="1" w:unhideWhenUsed="0" w:uiPriority="0" w:name="index 9"/>
    <w:lsdException w:qFormat="1" w:unhideWhenUsed="0" w:uiPriority="39" w:semiHidden="0" w:name="toc 1"/>
    <w:lsdException w:qFormat="1" w:unhideWhenUsed="0" w:uiPriority="39" w:semiHidden="0" w:name="toc 2"/>
    <w:lsdException w:qFormat="1" w:unhideWhenUsed="0" w:uiPriority="0" w:name="toc 3"/>
    <w:lsdException w:qFormat="1" w:unhideWhenUsed="0" w:uiPriority="0" w:name="toc 4"/>
    <w:lsdException w:qFormat="1" w:unhideWhenUsed="0" w:uiPriority="0" w:name="toc 5"/>
    <w:lsdException w:qFormat="1" w:unhideWhenUsed="0" w:uiPriority="0" w:name="toc 6"/>
    <w:lsdException w:qFormat="1" w:unhideWhenUsed="0" w:uiPriority="0" w:name="toc 7"/>
    <w:lsdException w:qFormat="1" w:unhideWhenUsed="0" w:uiPriority="0" w:name="toc 8"/>
    <w:lsdException w:qFormat="1" w:unhideWhenUsed="0" w:uiPriority="0" w:name="toc 9"/>
    <w:lsdException w:qFormat="1" w:unhideWhenUsed="0" w:uiPriority="0" w:semiHidden="0" w:name="Normal Indent"/>
    <w:lsdException w:uiPriority="0" w:name="footnote text"/>
    <w:lsdException w:qFormat="1" w:unhideWhenUsed="0" w:uiPriority="0" w:semiHidden="0" w:name="annotation text"/>
    <w:lsdException w:qFormat="1" w:unhideWhenUsed="0" w:uiPriority="99" w:semiHidden="0" w:name="header"/>
    <w:lsdException w:qFormat="1" w:unhideWhenUsed="0" w:uiPriority="0" w:semiHidden="0" w:name="footer"/>
    <w:lsdException w:qFormat="1" w:unhideWhenUsed="0" w:uiPriority="0" w:name="index heading"/>
    <w:lsdException w:qFormat="1" w:unhideWhenUsed="0" w:uiPriority="35" w:semiHidden="0" w:name="caption"/>
    <w:lsdException w:qFormat="1" w:unhideWhenUsed="0" w:uiPriority="0" w:name="table of figures"/>
    <w:lsdException w:uiPriority="0" w:name="envelope address"/>
    <w:lsdException w:qFormat="1" w:uiPriority="99" w:semiHidden="0" w:name="envelope return"/>
    <w:lsdException w:uiPriority="0" w:name="footnote reference"/>
    <w:lsdException w:qFormat="1" w:unhideWhenUsed="0" w:uiPriority="0" w:semiHidden="0" w:name="annotation reference"/>
    <w:lsdException w:qFormat="1" w:unhideWhenUsed="0" w:uiPriority="0" w:semiHidden="0" w:name="line number"/>
    <w:lsdException w:qFormat="1" w:unhideWhenUsed="0" w:uiPriority="0" w:semiHidden="0" w:name="page number"/>
    <w:lsdException w:uiPriority="0" w:name="endnote reference"/>
    <w:lsdException w:uiPriority="0" w:name="endnote text"/>
    <w:lsdException w:uiPriority="0" w:name="table of authorities"/>
    <w:lsdException w:uiPriority="0" w:name="macro"/>
    <w:lsdException w:uiPriority="0" w:name="toa heading"/>
    <w:lsdException w:uiPriority="0" w:name="List"/>
    <w:lsdException w:uiPriority="0" w:name="List Bullet"/>
    <w:lsdException w:unhideWhenUsed="0" w:uiPriority="0" w:semiHidden="0" w:name="List Number"/>
    <w:lsdException w:uiPriority="0" w:name="List 2"/>
    <w:lsdException w:uiPriority="0" w:name="List 3"/>
    <w:lsdException w:unhideWhenUsed="0" w:uiPriority="0" w:semiHidden="0" w:name="List 4"/>
    <w:lsdException w:unhideWhenUsed="0" w:uiPriority="0" w:semiHidden="0" w:name="List 5"/>
    <w:lsdException w:uiPriority="0" w:name="List Bullet 2"/>
    <w:lsdException w:uiPriority="0" w:name="List Bullet 3"/>
    <w:lsdException w:uiPriority="0" w:name="List Bullet 4"/>
    <w:lsdException w:uiPriority="0" w:name="List Bullet 5"/>
    <w:lsdException w:uiPriority="0" w:name="List Number 2"/>
    <w:lsdException w:uiPriority="0" w:name="List Number 3"/>
    <w:lsdException w:uiPriority="0" w:name="List Number 4"/>
    <w:lsdException w:uiPriority="0" w:name="List Number 5"/>
    <w:lsdException w:qFormat="1" w:unhideWhenUsed="0" w:uiPriority="10" w:semiHidden="0" w:name="Title"/>
    <w:lsdException w:uiPriority="0" w:name="Closing"/>
    <w:lsdException w:qFormat="1" w:unhideWhenUsed="0" w:uiPriority="0" w:semiHidden="0" w:name="Signature"/>
    <w:lsdException w:qFormat="1" w:uiPriority="1" w:name="Default Paragraph Font"/>
    <w:lsdException w:qFormat="1" w:unhideWhenUsed="0" w:uiPriority="99" w:semiHidden="0" w:name="Body Text"/>
    <w:lsdException w:qFormat="1" w:unhideWhenUsed="0" w:uiPriority="0" w:semiHidden="0" w:name="Body Text Indent"/>
    <w:lsdException w:uiPriority="0" w:name="List Continue"/>
    <w:lsdException w:uiPriority="0" w:name="List Continue 2"/>
    <w:lsdException w:uiPriority="0" w:name="List Continue 3"/>
    <w:lsdException w:uiPriority="0" w:name="List Continue 4"/>
    <w:lsdException w:uiPriority="0" w:name="List Continue 5"/>
    <w:lsdException w:uiPriority="0" w:name="Message Header"/>
    <w:lsdException w:qFormat="1" w:unhideWhenUsed="0" w:uiPriority="11" w:semiHidden="0" w:name="Subtitle"/>
    <w:lsdException w:unhideWhenUsed="0" w:uiPriority="0" w:semiHidden="0" w:name="Salutation"/>
    <w:lsdException w:qFormat="1" w:unhideWhenUsed="0" w:uiPriority="0" w:semiHidden="0" w:name="Date"/>
    <w:lsdException w:qFormat="1" w:uiPriority="99" w:semiHidden="0" w:name="Body Text First Indent"/>
    <w:lsdException w:qFormat="1" w:uiPriority="99" w:semiHidden="0" w:name="Body Text First Indent 2"/>
    <w:lsdException w:uiPriority="0" w:name="Note Heading"/>
    <w:lsdException w:uiPriority="0" w:name="Body Text 2"/>
    <w:lsdException w:uiPriority="0" w:name="Body Text 3"/>
    <w:lsdException w:qFormat="1" w:unhideWhenUsed="0" w:uiPriority="0" w:semiHidden="0" w:name="Body Text Indent 2"/>
    <w:lsdException w:qFormat="1" w:unhideWhenUsed="0" w:uiPriority="0" w:semiHidden="0" w:name="Body Text Indent 3"/>
    <w:lsdException w:qFormat="1" w:unhideWhenUsed="0" w:uiPriority="0" w:semiHidden="0" w:name="Block Text"/>
    <w:lsdException w:qFormat="1" w:unhideWhenUsed="0" w:uiPriority="99" w:semiHidden="0" w:name="Hyperlink"/>
    <w:lsdException w:qFormat="1" w:unhideWhenUsed="0" w:uiPriority="0" w:semiHidden="0" w:name="FollowedHyperlink"/>
    <w:lsdException w:qFormat="1" w:unhideWhenUsed="0" w:uiPriority="22" w:semiHidden="0" w:name="Strong"/>
    <w:lsdException w:qFormat="1" w:unhideWhenUsed="0" w:uiPriority="20" w:semiHidden="0" w:name="Emphasis"/>
    <w:lsdException w:qFormat="1" w:unhideWhenUsed="0" w:uiPriority="0" w:name="Document Map"/>
    <w:lsdException w:qFormat="1" w:unhideWhenUsed="0" w:uiPriority="0" w:semiHidden="0" w:name="Plain Text"/>
    <w:lsdException w:uiPriority="0" w:name="E-mail Signature"/>
    <w:lsdException w:qFormat="1" w:unhideWhenUsed="0" w:uiPriority="99" w:semiHidden="0" w:name="Normal (Web)"/>
    <w:lsdException w:qFormat="1" w:uiPriority="0" w:name="HTML Acronym"/>
    <w:lsdException w:uiPriority="0" w:name="HTML Address"/>
    <w:lsdException w:qFormat="1" w:uiPriority="0" w:name="HTML Cite"/>
    <w:lsdException w:qFormat="1" w:uiPriority="0" w:name="HTML Code"/>
    <w:lsdException w:qFormat="1" w:uiPriority="0" w:name="HTML Definition"/>
    <w:lsdException w:qFormat="1" w:uiPriority="0" w:name="HTML Keyboard"/>
    <w:lsdException w:qFormat="1" w:unhideWhenUsed="0" w:uiPriority="0" w:semiHidden="0" w:name="HTML Preformatted"/>
    <w:lsdException w:qFormat="1" w:uiPriority="0" w:name="HTML Sample"/>
    <w:lsdException w:qFormat="1" w:uiPriority="0" w:name="HTML Typewriter"/>
    <w:lsdException w:qFormat="1" w:uiPriority="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0" w:semiHidden="0" w:name="Table Grid"/>
    <w:lsdException w:uiPriority="0"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Calibri" w:hAnsi="Calibri" w:eastAsia="宋体" w:cs="Times New Roman"/>
      <w:kern w:val="2"/>
      <w:sz w:val="21"/>
      <w:lang w:val="en-US" w:eastAsia="zh-CN" w:bidi="ar-SA"/>
    </w:rPr>
  </w:style>
  <w:style w:type="paragraph" w:styleId="2">
    <w:name w:val="heading 1"/>
    <w:basedOn w:val="1"/>
    <w:next w:val="1"/>
    <w:link w:val="75"/>
    <w:autoRedefine/>
    <w:qFormat/>
    <w:uiPriority w:val="0"/>
    <w:pPr>
      <w:keepNext/>
      <w:tabs>
        <w:tab w:val="left" w:pos="200"/>
      </w:tabs>
      <w:jc w:val="center"/>
      <w:outlineLvl w:val="0"/>
    </w:pPr>
    <w:rPr>
      <w:rFonts w:ascii="宋体" w:hAnsi="宋体"/>
      <w:b/>
      <w:sz w:val="36"/>
    </w:rPr>
  </w:style>
  <w:style w:type="paragraph" w:styleId="3">
    <w:name w:val="heading 2"/>
    <w:basedOn w:val="1"/>
    <w:next w:val="1"/>
    <w:link w:val="76"/>
    <w:autoRedefine/>
    <w:qFormat/>
    <w:uiPriority w:val="0"/>
    <w:pPr>
      <w:keepNext/>
      <w:jc w:val="center"/>
      <w:outlineLvl w:val="1"/>
    </w:pPr>
    <w:rPr>
      <w:rFonts w:eastAsia="楷体_GB2312"/>
      <w:b/>
      <w:bCs/>
      <w:sz w:val="28"/>
      <w:szCs w:val="28"/>
    </w:rPr>
  </w:style>
  <w:style w:type="paragraph" w:styleId="4">
    <w:name w:val="heading 3"/>
    <w:basedOn w:val="1"/>
    <w:next w:val="1"/>
    <w:link w:val="77"/>
    <w:autoRedefine/>
    <w:qFormat/>
    <w:uiPriority w:val="9"/>
    <w:pPr>
      <w:keepNext/>
      <w:jc w:val="center"/>
      <w:outlineLvl w:val="2"/>
    </w:pPr>
    <w:rPr>
      <w:rFonts w:ascii="宋体" w:hAnsi="宋体"/>
      <w:sz w:val="28"/>
    </w:rPr>
  </w:style>
  <w:style w:type="paragraph" w:styleId="5">
    <w:name w:val="heading 4"/>
    <w:basedOn w:val="1"/>
    <w:next w:val="1"/>
    <w:link w:val="78"/>
    <w:autoRedefine/>
    <w:qFormat/>
    <w:uiPriority w:val="9"/>
    <w:pPr>
      <w:keepNext/>
      <w:outlineLvl w:val="3"/>
    </w:pPr>
    <w:rPr>
      <w:b/>
      <w:bCs/>
      <w:sz w:val="18"/>
    </w:rPr>
  </w:style>
  <w:style w:type="paragraph" w:styleId="6">
    <w:name w:val="heading 5"/>
    <w:basedOn w:val="1"/>
    <w:next w:val="1"/>
    <w:link w:val="79"/>
    <w:autoRedefine/>
    <w:qFormat/>
    <w:uiPriority w:val="9"/>
    <w:pPr>
      <w:keepNext/>
      <w:jc w:val="center"/>
      <w:outlineLvl w:val="4"/>
    </w:pPr>
    <w:rPr>
      <w:b/>
      <w:bCs/>
      <w:sz w:val="18"/>
    </w:rPr>
  </w:style>
  <w:style w:type="paragraph" w:styleId="7">
    <w:name w:val="heading 6"/>
    <w:basedOn w:val="1"/>
    <w:next w:val="1"/>
    <w:link w:val="80"/>
    <w:autoRedefine/>
    <w:qFormat/>
    <w:uiPriority w:val="9"/>
    <w:pPr>
      <w:keepNext/>
      <w:keepLines/>
      <w:widowControl/>
      <w:spacing w:before="120" w:line="252" w:lineRule="auto"/>
      <w:outlineLvl w:val="5"/>
    </w:pPr>
    <w:rPr>
      <w:rFonts w:ascii="Calibri Light" w:hAnsi="Calibri Light"/>
      <w:b/>
      <w:bCs/>
      <w:i/>
      <w:iCs/>
      <w:kern w:val="0"/>
      <w:sz w:val="20"/>
    </w:rPr>
  </w:style>
  <w:style w:type="paragraph" w:styleId="8">
    <w:name w:val="heading 7"/>
    <w:basedOn w:val="1"/>
    <w:next w:val="1"/>
    <w:link w:val="81"/>
    <w:autoRedefine/>
    <w:qFormat/>
    <w:uiPriority w:val="9"/>
    <w:pPr>
      <w:keepNext/>
      <w:keepLines/>
      <w:widowControl/>
      <w:spacing w:before="120" w:line="252" w:lineRule="auto"/>
      <w:outlineLvl w:val="6"/>
    </w:pPr>
    <w:rPr>
      <w:i/>
      <w:iCs/>
      <w:kern w:val="0"/>
      <w:sz w:val="20"/>
    </w:rPr>
  </w:style>
  <w:style w:type="paragraph" w:styleId="9">
    <w:name w:val="heading 8"/>
    <w:basedOn w:val="1"/>
    <w:next w:val="1"/>
    <w:link w:val="82"/>
    <w:autoRedefine/>
    <w:qFormat/>
    <w:uiPriority w:val="9"/>
    <w:pPr>
      <w:keepNext/>
      <w:keepLines/>
      <w:widowControl/>
      <w:spacing w:before="120" w:line="252" w:lineRule="auto"/>
      <w:outlineLvl w:val="7"/>
    </w:pPr>
    <w:rPr>
      <w:b/>
      <w:bCs/>
      <w:kern w:val="0"/>
      <w:sz w:val="20"/>
    </w:rPr>
  </w:style>
  <w:style w:type="paragraph" w:styleId="10">
    <w:name w:val="heading 9"/>
    <w:basedOn w:val="1"/>
    <w:next w:val="1"/>
    <w:link w:val="83"/>
    <w:autoRedefine/>
    <w:qFormat/>
    <w:uiPriority w:val="9"/>
    <w:pPr>
      <w:keepNext/>
      <w:keepLines/>
      <w:widowControl/>
      <w:spacing w:before="120" w:line="252" w:lineRule="auto"/>
      <w:outlineLvl w:val="8"/>
    </w:pPr>
    <w:rPr>
      <w:i/>
      <w:iCs/>
      <w:kern w:val="0"/>
      <w:sz w:val="20"/>
    </w:rPr>
  </w:style>
  <w:style w:type="character" w:default="1" w:styleId="56">
    <w:name w:val="Default Paragraph Font"/>
    <w:semiHidden/>
    <w:unhideWhenUsed/>
    <w:qFormat/>
    <w:uiPriority w:val="1"/>
  </w:style>
  <w:style w:type="table" w:default="1" w:styleId="54">
    <w:name w:val="Normal Table"/>
    <w:semiHidden/>
    <w:unhideWhenUsed/>
    <w:qFormat/>
    <w:uiPriority w:val="99"/>
    <w:tblPr>
      <w:tblCellMar>
        <w:top w:w="0" w:type="dxa"/>
        <w:left w:w="108" w:type="dxa"/>
        <w:bottom w:w="0" w:type="dxa"/>
        <w:right w:w="108" w:type="dxa"/>
      </w:tblCellMar>
    </w:tblPr>
  </w:style>
  <w:style w:type="paragraph" w:styleId="11">
    <w:name w:val="toc 7"/>
    <w:basedOn w:val="1"/>
    <w:next w:val="1"/>
    <w:autoRedefine/>
    <w:semiHidden/>
    <w:qFormat/>
    <w:uiPriority w:val="0"/>
    <w:pPr>
      <w:ind w:left="1260"/>
      <w:jc w:val="left"/>
    </w:pPr>
    <w:rPr>
      <w:szCs w:val="21"/>
    </w:rPr>
  </w:style>
  <w:style w:type="paragraph" w:styleId="12">
    <w:name w:val="index 8"/>
    <w:basedOn w:val="1"/>
    <w:next w:val="1"/>
    <w:autoRedefine/>
    <w:semiHidden/>
    <w:qFormat/>
    <w:uiPriority w:val="0"/>
    <w:pPr>
      <w:ind w:left="1400" w:leftChars="1400"/>
    </w:pPr>
  </w:style>
  <w:style w:type="paragraph" w:styleId="13">
    <w:name w:val="Normal Indent"/>
    <w:basedOn w:val="1"/>
    <w:link w:val="84"/>
    <w:autoRedefine/>
    <w:qFormat/>
    <w:uiPriority w:val="0"/>
    <w:pPr>
      <w:ind w:firstLine="420"/>
    </w:pPr>
  </w:style>
  <w:style w:type="paragraph" w:styleId="14">
    <w:name w:val="caption"/>
    <w:basedOn w:val="1"/>
    <w:next w:val="1"/>
    <w:autoRedefine/>
    <w:qFormat/>
    <w:uiPriority w:val="35"/>
    <w:pPr>
      <w:widowControl/>
      <w:spacing w:after="160" w:line="252" w:lineRule="auto"/>
    </w:pPr>
    <w:rPr>
      <w:b/>
      <w:bCs/>
      <w:kern w:val="0"/>
      <w:sz w:val="18"/>
      <w:szCs w:val="18"/>
    </w:rPr>
  </w:style>
  <w:style w:type="paragraph" w:styleId="15">
    <w:name w:val="index 5"/>
    <w:basedOn w:val="1"/>
    <w:next w:val="1"/>
    <w:autoRedefine/>
    <w:semiHidden/>
    <w:qFormat/>
    <w:uiPriority w:val="0"/>
    <w:pPr>
      <w:ind w:left="800" w:leftChars="800"/>
    </w:pPr>
  </w:style>
  <w:style w:type="paragraph" w:styleId="16">
    <w:name w:val="Document Map"/>
    <w:basedOn w:val="1"/>
    <w:link w:val="85"/>
    <w:autoRedefine/>
    <w:semiHidden/>
    <w:qFormat/>
    <w:uiPriority w:val="0"/>
    <w:pPr>
      <w:shd w:val="clear" w:color="auto" w:fill="000080"/>
    </w:pPr>
  </w:style>
  <w:style w:type="paragraph" w:styleId="17">
    <w:name w:val="annotation text"/>
    <w:basedOn w:val="1"/>
    <w:link w:val="86"/>
    <w:autoRedefine/>
    <w:qFormat/>
    <w:uiPriority w:val="0"/>
    <w:pPr>
      <w:jc w:val="left"/>
    </w:pPr>
  </w:style>
  <w:style w:type="paragraph" w:styleId="18">
    <w:name w:val="index 6"/>
    <w:basedOn w:val="1"/>
    <w:next w:val="1"/>
    <w:autoRedefine/>
    <w:semiHidden/>
    <w:qFormat/>
    <w:uiPriority w:val="0"/>
    <w:pPr>
      <w:ind w:left="1000" w:leftChars="1000"/>
    </w:pPr>
  </w:style>
  <w:style w:type="paragraph" w:styleId="19">
    <w:name w:val="Body Text"/>
    <w:basedOn w:val="1"/>
    <w:next w:val="20"/>
    <w:link w:val="87"/>
    <w:autoRedefine/>
    <w:qFormat/>
    <w:uiPriority w:val="99"/>
    <w:rPr>
      <w:rFonts w:ascii="楷体_GB2312" w:hAnsi="Arial" w:eastAsia="楷体_GB2312"/>
      <w:sz w:val="28"/>
    </w:rPr>
  </w:style>
  <w:style w:type="paragraph" w:styleId="20">
    <w:name w:val="Body Text First Indent"/>
    <w:basedOn w:val="19"/>
    <w:next w:val="21"/>
    <w:link w:val="156"/>
    <w:autoRedefine/>
    <w:unhideWhenUsed/>
    <w:qFormat/>
    <w:uiPriority w:val="99"/>
    <w:pPr>
      <w:spacing w:after="120"/>
      <w:ind w:firstLine="420" w:firstLineChars="100"/>
    </w:pPr>
    <w:rPr>
      <w:rFonts w:ascii="Calibri" w:hAnsi="Calibri" w:eastAsia="宋体"/>
      <w:sz w:val="21"/>
    </w:rPr>
  </w:style>
  <w:style w:type="paragraph" w:styleId="21">
    <w:name w:val="Body Text First Indent 2"/>
    <w:basedOn w:val="22"/>
    <w:next w:val="20"/>
    <w:autoRedefine/>
    <w:unhideWhenUsed/>
    <w:qFormat/>
    <w:uiPriority w:val="99"/>
    <w:pPr>
      <w:spacing w:after="120"/>
      <w:ind w:left="420" w:leftChars="200" w:firstLine="420" w:firstLineChars="200"/>
    </w:pPr>
    <w:rPr>
      <w:rFonts w:ascii="Calibri"/>
      <w:kern w:val="2"/>
      <w:sz w:val="21"/>
    </w:rPr>
  </w:style>
  <w:style w:type="paragraph" w:styleId="22">
    <w:name w:val="Body Text Indent"/>
    <w:basedOn w:val="1"/>
    <w:link w:val="88"/>
    <w:autoRedefine/>
    <w:qFormat/>
    <w:uiPriority w:val="0"/>
    <w:pPr>
      <w:adjustRightInd w:val="0"/>
      <w:spacing w:line="312" w:lineRule="atLeast"/>
      <w:ind w:firstLine="574"/>
      <w:textAlignment w:val="baseline"/>
    </w:pPr>
    <w:rPr>
      <w:rFonts w:ascii="宋体"/>
      <w:kern w:val="0"/>
      <w:sz w:val="28"/>
    </w:rPr>
  </w:style>
  <w:style w:type="paragraph" w:styleId="23">
    <w:name w:val="Block Text"/>
    <w:basedOn w:val="1"/>
    <w:autoRedefine/>
    <w:qFormat/>
    <w:uiPriority w:val="0"/>
    <w:pPr>
      <w:tabs>
        <w:tab w:val="left" w:pos="822"/>
        <w:tab w:val="left" w:pos="2205"/>
        <w:tab w:val="left" w:pos="9000"/>
      </w:tabs>
      <w:adjustRightInd w:val="0"/>
      <w:snapToGrid w:val="0"/>
      <w:spacing w:before="89"/>
      <w:ind w:left="1890" w:leftChars="229" w:right="11" w:hanging="1409" w:hangingChars="587"/>
    </w:pPr>
    <w:rPr>
      <w:sz w:val="24"/>
    </w:rPr>
  </w:style>
  <w:style w:type="paragraph" w:styleId="24">
    <w:name w:val="index 4"/>
    <w:basedOn w:val="1"/>
    <w:next w:val="1"/>
    <w:autoRedefine/>
    <w:semiHidden/>
    <w:qFormat/>
    <w:uiPriority w:val="0"/>
    <w:pPr>
      <w:ind w:left="600" w:leftChars="600"/>
    </w:pPr>
  </w:style>
  <w:style w:type="paragraph" w:styleId="25">
    <w:name w:val="toc 5"/>
    <w:basedOn w:val="1"/>
    <w:next w:val="1"/>
    <w:autoRedefine/>
    <w:semiHidden/>
    <w:qFormat/>
    <w:uiPriority w:val="0"/>
    <w:pPr>
      <w:ind w:left="840"/>
      <w:jc w:val="left"/>
    </w:pPr>
    <w:rPr>
      <w:szCs w:val="21"/>
    </w:rPr>
  </w:style>
  <w:style w:type="paragraph" w:styleId="26">
    <w:name w:val="toc 3"/>
    <w:basedOn w:val="1"/>
    <w:next w:val="1"/>
    <w:autoRedefine/>
    <w:semiHidden/>
    <w:qFormat/>
    <w:uiPriority w:val="0"/>
    <w:pPr>
      <w:ind w:left="420"/>
      <w:jc w:val="left"/>
    </w:pPr>
    <w:rPr>
      <w:i/>
      <w:iCs/>
      <w:szCs w:val="24"/>
    </w:rPr>
  </w:style>
  <w:style w:type="paragraph" w:styleId="27">
    <w:name w:val="Plain Text"/>
    <w:basedOn w:val="1"/>
    <w:link w:val="89"/>
    <w:autoRedefine/>
    <w:qFormat/>
    <w:uiPriority w:val="0"/>
    <w:rPr>
      <w:rFonts w:ascii="宋体" w:hAnsi="Courier New"/>
    </w:rPr>
  </w:style>
  <w:style w:type="paragraph" w:styleId="28">
    <w:name w:val="toc 8"/>
    <w:basedOn w:val="1"/>
    <w:next w:val="1"/>
    <w:autoRedefine/>
    <w:semiHidden/>
    <w:qFormat/>
    <w:uiPriority w:val="0"/>
    <w:pPr>
      <w:ind w:left="1470"/>
      <w:jc w:val="left"/>
    </w:pPr>
    <w:rPr>
      <w:szCs w:val="21"/>
    </w:rPr>
  </w:style>
  <w:style w:type="paragraph" w:styleId="29">
    <w:name w:val="index 3"/>
    <w:basedOn w:val="1"/>
    <w:next w:val="1"/>
    <w:autoRedefine/>
    <w:semiHidden/>
    <w:qFormat/>
    <w:uiPriority w:val="0"/>
    <w:pPr>
      <w:ind w:left="400" w:leftChars="400"/>
    </w:pPr>
  </w:style>
  <w:style w:type="paragraph" w:styleId="30">
    <w:name w:val="Date"/>
    <w:basedOn w:val="1"/>
    <w:next w:val="1"/>
    <w:link w:val="90"/>
    <w:autoRedefine/>
    <w:qFormat/>
    <w:uiPriority w:val="0"/>
    <w:pPr>
      <w:adjustRightInd w:val="0"/>
      <w:spacing w:line="312" w:lineRule="atLeast"/>
      <w:textAlignment w:val="baseline"/>
    </w:pPr>
    <w:rPr>
      <w:rFonts w:ascii="宋体"/>
      <w:kern w:val="0"/>
      <w:sz w:val="28"/>
    </w:rPr>
  </w:style>
  <w:style w:type="paragraph" w:styleId="31">
    <w:name w:val="Body Text Indent 2"/>
    <w:basedOn w:val="1"/>
    <w:link w:val="91"/>
    <w:autoRedefine/>
    <w:qFormat/>
    <w:uiPriority w:val="0"/>
    <w:pPr>
      <w:tabs>
        <w:tab w:val="left" w:pos="1785"/>
        <w:tab w:val="left" w:pos="1887"/>
        <w:tab w:val="left" w:pos="2112"/>
        <w:tab w:val="left" w:pos="9000"/>
      </w:tabs>
      <w:adjustRightInd w:val="0"/>
      <w:snapToGrid w:val="0"/>
      <w:ind w:left="1890" w:leftChars="229" w:hanging="1409" w:hangingChars="587"/>
    </w:pPr>
    <w:rPr>
      <w:sz w:val="24"/>
    </w:rPr>
  </w:style>
  <w:style w:type="paragraph" w:styleId="32">
    <w:name w:val="Balloon Text"/>
    <w:basedOn w:val="1"/>
    <w:link w:val="92"/>
    <w:autoRedefine/>
    <w:qFormat/>
    <w:uiPriority w:val="0"/>
    <w:rPr>
      <w:sz w:val="18"/>
      <w:szCs w:val="18"/>
    </w:rPr>
  </w:style>
  <w:style w:type="paragraph" w:styleId="33">
    <w:name w:val="footer"/>
    <w:basedOn w:val="1"/>
    <w:link w:val="93"/>
    <w:autoRedefine/>
    <w:qFormat/>
    <w:uiPriority w:val="0"/>
    <w:pPr>
      <w:tabs>
        <w:tab w:val="center" w:pos="4153"/>
        <w:tab w:val="right" w:pos="8306"/>
      </w:tabs>
      <w:snapToGrid w:val="0"/>
      <w:jc w:val="left"/>
    </w:pPr>
    <w:rPr>
      <w:sz w:val="18"/>
    </w:rPr>
  </w:style>
  <w:style w:type="paragraph" w:styleId="34">
    <w:name w:val="envelope return"/>
    <w:basedOn w:val="1"/>
    <w:autoRedefine/>
    <w:unhideWhenUsed/>
    <w:qFormat/>
    <w:uiPriority w:val="99"/>
    <w:pPr>
      <w:snapToGrid w:val="0"/>
    </w:pPr>
    <w:rPr>
      <w:rFonts w:ascii="Arial" w:hAnsi="Arial"/>
    </w:rPr>
  </w:style>
  <w:style w:type="paragraph" w:styleId="35">
    <w:name w:val="header"/>
    <w:basedOn w:val="1"/>
    <w:link w:val="94"/>
    <w:autoRedefine/>
    <w:qFormat/>
    <w:uiPriority w:val="99"/>
    <w:pPr>
      <w:pBdr>
        <w:bottom w:val="single" w:color="auto" w:sz="6" w:space="1"/>
      </w:pBdr>
      <w:tabs>
        <w:tab w:val="center" w:pos="4153"/>
        <w:tab w:val="right" w:pos="8306"/>
      </w:tabs>
      <w:snapToGrid w:val="0"/>
      <w:jc w:val="center"/>
    </w:pPr>
    <w:rPr>
      <w:sz w:val="18"/>
    </w:rPr>
  </w:style>
  <w:style w:type="paragraph" w:styleId="36">
    <w:name w:val="Signature"/>
    <w:basedOn w:val="1"/>
    <w:link w:val="95"/>
    <w:autoRedefine/>
    <w:qFormat/>
    <w:uiPriority w:val="0"/>
    <w:pPr>
      <w:adjustRightInd w:val="0"/>
      <w:spacing w:after="600" w:line="312" w:lineRule="atLeast"/>
      <w:jc w:val="center"/>
      <w:textAlignment w:val="baseline"/>
    </w:pPr>
    <w:rPr>
      <w:rFonts w:eastAsia="仿宋_GB2312"/>
      <w:kern w:val="0"/>
      <w:sz w:val="24"/>
    </w:rPr>
  </w:style>
  <w:style w:type="paragraph" w:styleId="37">
    <w:name w:val="toc 1"/>
    <w:basedOn w:val="1"/>
    <w:next w:val="1"/>
    <w:autoRedefine/>
    <w:qFormat/>
    <w:uiPriority w:val="39"/>
    <w:pPr>
      <w:tabs>
        <w:tab w:val="right" w:leader="dot" w:pos="9450"/>
      </w:tabs>
      <w:spacing w:before="100" w:beforeAutospacing="1" w:after="100" w:afterAutospacing="1" w:line="360" w:lineRule="exact"/>
      <w:ind w:left="210" w:leftChars="100"/>
    </w:pPr>
    <w:rPr>
      <w:b/>
      <w:bCs/>
      <w:caps/>
      <w:sz w:val="28"/>
      <w:szCs w:val="36"/>
    </w:rPr>
  </w:style>
  <w:style w:type="paragraph" w:styleId="38">
    <w:name w:val="toc 4"/>
    <w:basedOn w:val="1"/>
    <w:next w:val="1"/>
    <w:autoRedefine/>
    <w:semiHidden/>
    <w:qFormat/>
    <w:uiPriority w:val="0"/>
    <w:pPr>
      <w:ind w:left="630"/>
      <w:jc w:val="left"/>
    </w:pPr>
    <w:rPr>
      <w:szCs w:val="21"/>
    </w:rPr>
  </w:style>
  <w:style w:type="paragraph" w:styleId="39">
    <w:name w:val="index heading"/>
    <w:basedOn w:val="1"/>
    <w:next w:val="40"/>
    <w:autoRedefine/>
    <w:semiHidden/>
    <w:qFormat/>
    <w:uiPriority w:val="0"/>
  </w:style>
  <w:style w:type="paragraph" w:styleId="40">
    <w:name w:val="index 1"/>
    <w:basedOn w:val="1"/>
    <w:next w:val="1"/>
    <w:autoRedefine/>
    <w:semiHidden/>
    <w:qFormat/>
    <w:uiPriority w:val="0"/>
  </w:style>
  <w:style w:type="paragraph" w:styleId="41">
    <w:name w:val="Subtitle"/>
    <w:basedOn w:val="1"/>
    <w:next w:val="1"/>
    <w:link w:val="96"/>
    <w:autoRedefine/>
    <w:qFormat/>
    <w:uiPriority w:val="11"/>
    <w:pPr>
      <w:widowControl/>
      <w:spacing w:after="240" w:line="252" w:lineRule="auto"/>
      <w:jc w:val="center"/>
    </w:pPr>
    <w:rPr>
      <w:rFonts w:ascii="Calibri Light" w:hAnsi="Calibri Light"/>
      <w:kern w:val="0"/>
      <w:sz w:val="24"/>
      <w:szCs w:val="24"/>
    </w:rPr>
  </w:style>
  <w:style w:type="paragraph" w:styleId="42">
    <w:name w:val="toc 6"/>
    <w:basedOn w:val="1"/>
    <w:next w:val="1"/>
    <w:autoRedefine/>
    <w:semiHidden/>
    <w:qFormat/>
    <w:uiPriority w:val="0"/>
    <w:pPr>
      <w:ind w:left="1050"/>
      <w:jc w:val="left"/>
    </w:pPr>
    <w:rPr>
      <w:szCs w:val="21"/>
    </w:rPr>
  </w:style>
  <w:style w:type="paragraph" w:styleId="43">
    <w:name w:val="Body Text Indent 3"/>
    <w:basedOn w:val="1"/>
    <w:link w:val="97"/>
    <w:autoRedefine/>
    <w:qFormat/>
    <w:uiPriority w:val="0"/>
    <w:pPr>
      <w:ind w:firstLine="555"/>
    </w:pPr>
    <w:rPr>
      <w:b/>
      <w:bCs/>
      <w:sz w:val="28"/>
      <w:u w:val="single"/>
    </w:rPr>
  </w:style>
  <w:style w:type="paragraph" w:styleId="44">
    <w:name w:val="index 7"/>
    <w:basedOn w:val="1"/>
    <w:next w:val="1"/>
    <w:autoRedefine/>
    <w:semiHidden/>
    <w:qFormat/>
    <w:uiPriority w:val="0"/>
    <w:pPr>
      <w:ind w:left="1200" w:leftChars="1200"/>
    </w:pPr>
  </w:style>
  <w:style w:type="paragraph" w:styleId="45">
    <w:name w:val="index 9"/>
    <w:basedOn w:val="1"/>
    <w:next w:val="1"/>
    <w:autoRedefine/>
    <w:semiHidden/>
    <w:qFormat/>
    <w:uiPriority w:val="0"/>
    <w:pPr>
      <w:ind w:left="1600" w:leftChars="1600"/>
    </w:pPr>
  </w:style>
  <w:style w:type="paragraph" w:styleId="46">
    <w:name w:val="table of figures"/>
    <w:basedOn w:val="1"/>
    <w:next w:val="1"/>
    <w:autoRedefine/>
    <w:semiHidden/>
    <w:qFormat/>
    <w:uiPriority w:val="0"/>
    <w:pPr>
      <w:ind w:left="840" w:leftChars="200" w:hanging="420" w:hangingChars="200"/>
    </w:pPr>
  </w:style>
  <w:style w:type="paragraph" w:styleId="47">
    <w:name w:val="toc 2"/>
    <w:basedOn w:val="1"/>
    <w:next w:val="1"/>
    <w:autoRedefine/>
    <w:qFormat/>
    <w:uiPriority w:val="39"/>
    <w:pPr>
      <w:tabs>
        <w:tab w:val="right" w:leader="dot" w:pos="9450"/>
      </w:tabs>
      <w:spacing w:line="400" w:lineRule="exact"/>
      <w:ind w:left="250" w:leftChars="250"/>
      <w:jc w:val="left"/>
    </w:pPr>
    <w:rPr>
      <w:bCs/>
      <w:smallCaps/>
      <w:sz w:val="24"/>
      <w:szCs w:val="24"/>
    </w:rPr>
  </w:style>
  <w:style w:type="paragraph" w:styleId="48">
    <w:name w:val="toc 9"/>
    <w:basedOn w:val="1"/>
    <w:next w:val="1"/>
    <w:autoRedefine/>
    <w:semiHidden/>
    <w:qFormat/>
    <w:uiPriority w:val="0"/>
    <w:pPr>
      <w:ind w:left="1680"/>
      <w:jc w:val="left"/>
    </w:pPr>
    <w:rPr>
      <w:szCs w:val="21"/>
    </w:rPr>
  </w:style>
  <w:style w:type="paragraph" w:styleId="49">
    <w:name w:val="HTML Preformatted"/>
    <w:basedOn w:val="1"/>
    <w:link w:val="98"/>
    <w:autoRedefine/>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Arial" w:hAnsi="Arial"/>
      <w:kern w:val="0"/>
      <w:sz w:val="24"/>
      <w:szCs w:val="24"/>
    </w:rPr>
  </w:style>
  <w:style w:type="paragraph" w:styleId="50">
    <w:name w:val="Normal (Web)"/>
    <w:basedOn w:val="1"/>
    <w:autoRedefine/>
    <w:qFormat/>
    <w:uiPriority w:val="99"/>
    <w:pPr>
      <w:widowControl/>
      <w:spacing w:before="100" w:beforeAutospacing="1" w:after="100" w:afterAutospacing="1"/>
      <w:jc w:val="left"/>
    </w:pPr>
    <w:rPr>
      <w:rFonts w:ascii="宋体" w:hAnsi="宋体" w:cs="宋体"/>
      <w:kern w:val="0"/>
      <w:sz w:val="24"/>
      <w:szCs w:val="24"/>
    </w:rPr>
  </w:style>
  <w:style w:type="paragraph" w:styleId="51">
    <w:name w:val="index 2"/>
    <w:basedOn w:val="1"/>
    <w:next w:val="1"/>
    <w:autoRedefine/>
    <w:semiHidden/>
    <w:qFormat/>
    <w:uiPriority w:val="0"/>
    <w:pPr>
      <w:ind w:left="200" w:leftChars="200"/>
    </w:pPr>
  </w:style>
  <w:style w:type="paragraph" w:styleId="52">
    <w:name w:val="Title"/>
    <w:basedOn w:val="1"/>
    <w:next w:val="1"/>
    <w:link w:val="99"/>
    <w:autoRedefine/>
    <w:qFormat/>
    <w:uiPriority w:val="10"/>
    <w:pPr>
      <w:widowControl/>
      <w:contextualSpacing/>
      <w:jc w:val="center"/>
    </w:pPr>
    <w:rPr>
      <w:rFonts w:ascii="Calibri Light" w:hAnsi="Calibri Light"/>
      <w:b/>
      <w:bCs/>
      <w:spacing w:val="-7"/>
      <w:kern w:val="0"/>
      <w:sz w:val="48"/>
      <w:szCs w:val="48"/>
    </w:rPr>
  </w:style>
  <w:style w:type="paragraph" w:styleId="53">
    <w:name w:val="annotation subject"/>
    <w:basedOn w:val="17"/>
    <w:next w:val="17"/>
    <w:link w:val="100"/>
    <w:autoRedefine/>
    <w:qFormat/>
    <w:uiPriority w:val="0"/>
    <w:rPr>
      <w:b/>
      <w:bCs/>
    </w:rPr>
  </w:style>
  <w:style w:type="table" w:styleId="55">
    <w:name w:val="Table Grid"/>
    <w:basedOn w:val="54"/>
    <w:autoRedefine/>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57">
    <w:name w:val="Strong"/>
    <w:autoRedefine/>
    <w:qFormat/>
    <w:uiPriority w:val="22"/>
    <w:rPr>
      <w:b/>
      <w:bCs/>
    </w:rPr>
  </w:style>
  <w:style w:type="character" w:styleId="58">
    <w:name w:val="page number"/>
    <w:autoRedefine/>
    <w:qFormat/>
    <w:uiPriority w:val="0"/>
  </w:style>
  <w:style w:type="character" w:styleId="59">
    <w:name w:val="FollowedHyperlink"/>
    <w:autoRedefine/>
    <w:qFormat/>
    <w:uiPriority w:val="0"/>
    <w:rPr>
      <w:color w:val="800080"/>
      <w:u w:val="single"/>
    </w:rPr>
  </w:style>
  <w:style w:type="character" w:styleId="60">
    <w:name w:val="Emphasis"/>
    <w:autoRedefine/>
    <w:qFormat/>
    <w:uiPriority w:val="20"/>
    <w:rPr>
      <w:i/>
      <w:iCs/>
    </w:rPr>
  </w:style>
  <w:style w:type="character" w:styleId="61">
    <w:name w:val="line number"/>
    <w:autoRedefine/>
    <w:qFormat/>
    <w:uiPriority w:val="0"/>
  </w:style>
  <w:style w:type="character" w:styleId="62">
    <w:name w:val="HTML Definition"/>
    <w:basedOn w:val="56"/>
    <w:autoRedefine/>
    <w:semiHidden/>
    <w:unhideWhenUsed/>
    <w:qFormat/>
    <w:uiPriority w:val="0"/>
  </w:style>
  <w:style w:type="character" w:styleId="63">
    <w:name w:val="HTML Typewriter"/>
    <w:basedOn w:val="56"/>
    <w:autoRedefine/>
    <w:semiHidden/>
    <w:unhideWhenUsed/>
    <w:qFormat/>
    <w:uiPriority w:val="0"/>
    <w:rPr>
      <w:rFonts w:hint="default" w:ascii="monospace" w:hAnsi="monospace" w:eastAsia="monospace" w:cs="monospace"/>
      <w:sz w:val="20"/>
    </w:rPr>
  </w:style>
  <w:style w:type="character" w:styleId="64">
    <w:name w:val="HTML Acronym"/>
    <w:basedOn w:val="56"/>
    <w:autoRedefine/>
    <w:semiHidden/>
    <w:unhideWhenUsed/>
    <w:qFormat/>
    <w:uiPriority w:val="0"/>
  </w:style>
  <w:style w:type="character" w:styleId="65">
    <w:name w:val="HTML Variable"/>
    <w:basedOn w:val="56"/>
    <w:autoRedefine/>
    <w:semiHidden/>
    <w:unhideWhenUsed/>
    <w:qFormat/>
    <w:uiPriority w:val="0"/>
  </w:style>
  <w:style w:type="character" w:styleId="66">
    <w:name w:val="Hyperlink"/>
    <w:autoRedefine/>
    <w:qFormat/>
    <w:uiPriority w:val="99"/>
    <w:rPr>
      <w:color w:val="0000FF"/>
      <w:u w:val="single"/>
    </w:rPr>
  </w:style>
  <w:style w:type="character" w:styleId="67">
    <w:name w:val="HTML Code"/>
    <w:basedOn w:val="56"/>
    <w:autoRedefine/>
    <w:semiHidden/>
    <w:unhideWhenUsed/>
    <w:qFormat/>
    <w:uiPriority w:val="0"/>
    <w:rPr>
      <w:rFonts w:hint="default" w:ascii="monospace" w:hAnsi="monospace" w:eastAsia="monospace" w:cs="monospace"/>
      <w:sz w:val="20"/>
      <w:bdr w:val="single" w:color="EBEBEB" w:sz="2" w:space="0"/>
    </w:rPr>
  </w:style>
  <w:style w:type="character" w:styleId="68">
    <w:name w:val="annotation reference"/>
    <w:autoRedefine/>
    <w:qFormat/>
    <w:uiPriority w:val="0"/>
    <w:rPr>
      <w:sz w:val="21"/>
      <w:szCs w:val="21"/>
    </w:rPr>
  </w:style>
  <w:style w:type="character" w:styleId="69">
    <w:name w:val="HTML Cite"/>
    <w:basedOn w:val="56"/>
    <w:autoRedefine/>
    <w:semiHidden/>
    <w:unhideWhenUsed/>
    <w:qFormat/>
    <w:uiPriority w:val="0"/>
  </w:style>
  <w:style w:type="character" w:styleId="70">
    <w:name w:val="HTML Keyboard"/>
    <w:basedOn w:val="56"/>
    <w:autoRedefine/>
    <w:semiHidden/>
    <w:unhideWhenUsed/>
    <w:qFormat/>
    <w:uiPriority w:val="0"/>
    <w:rPr>
      <w:rFonts w:hint="default" w:ascii="monospace" w:hAnsi="monospace" w:eastAsia="monospace" w:cs="monospace"/>
      <w:sz w:val="20"/>
    </w:rPr>
  </w:style>
  <w:style w:type="character" w:styleId="71">
    <w:name w:val="HTML Sample"/>
    <w:basedOn w:val="56"/>
    <w:autoRedefine/>
    <w:semiHidden/>
    <w:unhideWhenUsed/>
    <w:qFormat/>
    <w:uiPriority w:val="0"/>
    <w:rPr>
      <w:rFonts w:ascii="monospace" w:hAnsi="monospace" w:eastAsia="monospace" w:cs="monospace"/>
    </w:rPr>
  </w:style>
  <w:style w:type="paragraph" w:customStyle="1" w:styleId="72">
    <w:name w:val="表格内容"/>
    <w:basedOn w:val="1"/>
    <w:autoRedefine/>
    <w:qFormat/>
    <w:uiPriority w:val="0"/>
    <w:pPr>
      <w:widowControl/>
      <w:jc w:val="center"/>
      <w:textAlignment w:val="center"/>
    </w:pPr>
    <w:rPr>
      <w:rFonts w:ascii="Times New Roman" w:hAnsi="Times New Roman"/>
      <w:szCs w:val="22"/>
    </w:rPr>
  </w:style>
  <w:style w:type="paragraph" w:customStyle="1" w:styleId="73">
    <w:name w:val="段"/>
    <w:next w:val="1"/>
    <w:autoRedefine/>
    <w:qFormat/>
    <w:uiPriority w:val="0"/>
    <w:pPr>
      <w:autoSpaceDE w:val="0"/>
      <w:autoSpaceDN w:val="0"/>
      <w:ind w:firstLine="200" w:firstLineChars="200"/>
      <w:jc w:val="both"/>
    </w:pPr>
    <w:rPr>
      <w:rFonts w:ascii="宋体" w:hAnsi="Times New Roman" w:eastAsia="宋体" w:cs="Times New Roman"/>
      <w:sz w:val="21"/>
      <w:szCs w:val="22"/>
      <w:lang w:val="en-US" w:eastAsia="zh-CN" w:bidi="ar-SA"/>
    </w:rPr>
  </w:style>
  <w:style w:type="paragraph" w:customStyle="1" w:styleId="74">
    <w:name w:val="首行缩进"/>
    <w:basedOn w:val="1"/>
    <w:autoRedefine/>
    <w:qFormat/>
    <w:uiPriority w:val="0"/>
    <w:pPr>
      <w:ind w:firstLine="480" w:firstLineChars="200"/>
    </w:pPr>
    <w:rPr>
      <w:lang w:val="zh-CN"/>
    </w:rPr>
  </w:style>
  <w:style w:type="character" w:customStyle="1" w:styleId="75">
    <w:name w:val="标题 1 字符"/>
    <w:link w:val="2"/>
    <w:autoRedefine/>
    <w:qFormat/>
    <w:uiPriority w:val="0"/>
    <w:rPr>
      <w:rFonts w:ascii="宋体" w:hAnsi="宋体"/>
      <w:b/>
      <w:kern w:val="2"/>
      <w:sz w:val="36"/>
    </w:rPr>
  </w:style>
  <w:style w:type="character" w:customStyle="1" w:styleId="76">
    <w:name w:val="标题 2 字符"/>
    <w:link w:val="3"/>
    <w:autoRedefine/>
    <w:qFormat/>
    <w:locked/>
    <w:uiPriority w:val="0"/>
    <w:rPr>
      <w:rFonts w:eastAsia="楷体_GB2312"/>
      <w:b/>
      <w:bCs/>
      <w:kern w:val="2"/>
      <w:sz w:val="28"/>
      <w:szCs w:val="28"/>
    </w:rPr>
  </w:style>
  <w:style w:type="character" w:customStyle="1" w:styleId="77">
    <w:name w:val="标题 3 字符"/>
    <w:link w:val="4"/>
    <w:autoRedefine/>
    <w:qFormat/>
    <w:uiPriority w:val="9"/>
    <w:rPr>
      <w:rFonts w:ascii="宋体" w:hAnsi="宋体"/>
      <w:kern w:val="2"/>
      <w:sz w:val="28"/>
    </w:rPr>
  </w:style>
  <w:style w:type="character" w:customStyle="1" w:styleId="78">
    <w:name w:val="标题 4 字符"/>
    <w:link w:val="5"/>
    <w:autoRedefine/>
    <w:qFormat/>
    <w:uiPriority w:val="9"/>
    <w:rPr>
      <w:b/>
      <w:bCs/>
      <w:kern w:val="2"/>
      <w:sz w:val="18"/>
    </w:rPr>
  </w:style>
  <w:style w:type="character" w:customStyle="1" w:styleId="79">
    <w:name w:val="标题 5 字符"/>
    <w:link w:val="6"/>
    <w:autoRedefine/>
    <w:qFormat/>
    <w:uiPriority w:val="9"/>
    <w:rPr>
      <w:b/>
      <w:bCs/>
      <w:kern w:val="2"/>
      <w:sz w:val="18"/>
    </w:rPr>
  </w:style>
  <w:style w:type="character" w:customStyle="1" w:styleId="80">
    <w:name w:val="标题 6 字符"/>
    <w:link w:val="7"/>
    <w:autoRedefine/>
    <w:qFormat/>
    <w:uiPriority w:val="9"/>
    <w:rPr>
      <w:rFonts w:ascii="Calibri Light" w:hAnsi="Calibri Light"/>
      <w:b/>
      <w:bCs/>
      <w:i/>
      <w:iCs/>
    </w:rPr>
  </w:style>
  <w:style w:type="character" w:customStyle="1" w:styleId="81">
    <w:name w:val="标题 7 字符"/>
    <w:link w:val="8"/>
    <w:autoRedefine/>
    <w:qFormat/>
    <w:uiPriority w:val="9"/>
    <w:rPr>
      <w:i/>
      <w:iCs/>
    </w:rPr>
  </w:style>
  <w:style w:type="character" w:customStyle="1" w:styleId="82">
    <w:name w:val="标题 8 字符"/>
    <w:link w:val="9"/>
    <w:autoRedefine/>
    <w:qFormat/>
    <w:uiPriority w:val="9"/>
    <w:rPr>
      <w:b/>
      <w:bCs/>
    </w:rPr>
  </w:style>
  <w:style w:type="character" w:customStyle="1" w:styleId="83">
    <w:name w:val="标题 9 字符"/>
    <w:link w:val="10"/>
    <w:autoRedefine/>
    <w:qFormat/>
    <w:uiPriority w:val="9"/>
    <w:rPr>
      <w:i/>
      <w:iCs/>
    </w:rPr>
  </w:style>
  <w:style w:type="character" w:customStyle="1" w:styleId="84">
    <w:name w:val="正文缩进 字符"/>
    <w:link w:val="13"/>
    <w:autoRedefine/>
    <w:qFormat/>
    <w:uiPriority w:val="0"/>
    <w:rPr>
      <w:kern w:val="2"/>
      <w:sz w:val="21"/>
    </w:rPr>
  </w:style>
  <w:style w:type="character" w:customStyle="1" w:styleId="85">
    <w:name w:val="文档结构图 字符"/>
    <w:link w:val="16"/>
    <w:autoRedefine/>
    <w:semiHidden/>
    <w:qFormat/>
    <w:uiPriority w:val="0"/>
    <w:rPr>
      <w:kern w:val="2"/>
      <w:sz w:val="21"/>
      <w:shd w:val="clear" w:color="auto" w:fill="000080"/>
    </w:rPr>
  </w:style>
  <w:style w:type="character" w:customStyle="1" w:styleId="86">
    <w:name w:val="批注文字 字符"/>
    <w:link w:val="17"/>
    <w:autoRedefine/>
    <w:qFormat/>
    <w:uiPriority w:val="0"/>
    <w:rPr>
      <w:kern w:val="2"/>
      <w:sz w:val="21"/>
    </w:rPr>
  </w:style>
  <w:style w:type="character" w:customStyle="1" w:styleId="87">
    <w:name w:val="正文文本 字符1"/>
    <w:link w:val="19"/>
    <w:autoRedefine/>
    <w:qFormat/>
    <w:uiPriority w:val="0"/>
    <w:rPr>
      <w:rFonts w:ascii="楷体_GB2312" w:hAnsi="Arial" w:eastAsia="楷体_GB2312"/>
      <w:kern w:val="2"/>
      <w:sz w:val="28"/>
    </w:rPr>
  </w:style>
  <w:style w:type="character" w:customStyle="1" w:styleId="88">
    <w:name w:val="正文文本缩进 字符"/>
    <w:link w:val="22"/>
    <w:autoRedefine/>
    <w:qFormat/>
    <w:uiPriority w:val="0"/>
    <w:rPr>
      <w:rFonts w:ascii="宋体"/>
      <w:sz w:val="28"/>
    </w:rPr>
  </w:style>
  <w:style w:type="character" w:customStyle="1" w:styleId="89">
    <w:name w:val="纯文本 字符"/>
    <w:link w:val="27"/>
    <w:autoRedefine/>
    <w:qFormat/>
    <w:uiPriority w:val="0"/>
    <w:rPr>
      <w:rFonts w:ascii="宋体" w:hAnsi="Courier New"/>
      <w:kern w:val="2"/>
      <w:sz w:val="21"/>
    </w:rPr>
  </w:style>
  <w:style w:type="character" w:customStyle="1" w:styleId="90">
    <w:name w:val="日期 字符"/>
    <w:link w:val="30"/>
    <w:autoRedefine/>
    <w:qFormat/>
    <w:uiPriority w:val="0"/>
    <w:rPr>
      <w:rFonts w:ascii="宋体"/>
      <w:sz w:val="28"/>
    </w:rPr>
  </w:style>
  <w:style w:type="character" w:customStyle="1" w:styleId="91">
    <w:name w:val="正文文本缩进 2 字符"/>
    <w:link w:val="31"/>
    <w:autoRedefine/>
    <w:qFormat/>
    <w:uiPriority w:val="0"/>
    <w:rPr>
      <w:kern w:val="2"/>
      <w:sz w:val="24"/>
    </w:rPr>
  </w:style>
  <w:style w:type="character" w:customStyle="1" w:styleId="92">
    <w:name w:val="批注框文本 字符"/>
    <w:link w:val="32"/>
    <w:autoRedefine/>
    <w:qFormat/>
    <w:uiPriority w:val="0"/>
    <w:rPr>
      <w:kern w:val="2"/>
      <w:sz w:val="18"/>
      <w:szCs w:val="18"/>
    </w:rPr>
  </w:style>
  <w:style w:type="character" w:customStyle="1" w:styleId="93">
    <w:name w:val="页脚 字符"/>
    <w:link w:val="33"/>
    <w:autoRedefine/>
    <w:qFormat/>
    <w:uiPriority w:val="0"/>
    <w:rPr>
      <w:kern w:val="2"/>
      <w:sz w:val="18"/>
    </w:rPr>
  </w:style>
  <w:style w:type="character" w:customStyle="1" w:styleId="94">
    <w:name w:val="页眉 字符"/>
    <w:link w:val="35"/>
    <w:autoRedefine/>
    <w:qFormat/>
    <w:uiPriority w:val="99"/>
    <w:rPr>
      <w:kern w:val="2"/>
      <w:sz w:val="18"/>
    </w:rPr>
  </w:style>
  <w:style w:type="character" w:customStyle="1" w:styleId="95">
    <w:name w:val="签名 字符1"/>
    <w:link w:val="36"/>
    <w:autoRedefine/>
    <w:qFormat/>
    <w:locked/>
    <w:uiPriority w:val="0"/>
    <w:rPr>
      <w:rFonts w:eastAsia="仿宋_GB2312"/>
      <w:sz w:val="24"/>
    </w:rPr>
  </w:style>
  <w:style w:type="character" w:customStyle="1" w:styleId="96">
    <w:name w:val="副标题 字符"/>
    <w:link w:val="41"/>
    <w:autoRedefine/>
    <w:qFormat/>
    <w:uiPriority w:val="11"/>
    <w:rPr>
      <w:rFonts w:ascii="Calibri Light" w:hAnsi="Calibri Light"/>
      <w:sz w:val="24"/>
      <w:szCs w:val="24"/>
    </w:rPr>
  </w:style>
  <w:style w:type="character" w:customStyle="1" w:styleId="97">
    <w:name w:val="正文文本缩进 3 字符"/>
    <w:link w:val="43"/>
    <w:autoRedefine/>
    <w:qFormat/>
    <w:uiPriority w:val="0"/>
    <w:rPr>
      <w:b/>
      <w:bCs/>
      <w:kern w:val="2"/>
      <w:sz w:val="28"/>
      <w:u w:val="single"/>
    </w:rPr>
  </w:style>
  <w:style w:type="character" w:customStyle="1" w:styleId="98">
    <w:name w:val="HTML 预设格式 字符"/>
    <w:link w:val="49"/>
    <w:autoRedefine/>
    <w:qFormat/>
    <w:uiPriority w:val="0"/>
    <w:rPr>
      <w:rFonts w:ascii="Arial" w:hAnsi="Arial" w:cs="Arial"/>
      <w:sz w:val="24"/>
      <w:szCs w:val="24"/>
    </w:rPr>
  </w:style>
  <w:style w:type="character" w:customStyle="1" w:styleId="99">
    <w:name w:val="标题 字符"/>
    <w:link w:val="52"/>
    <w:autoRedefine/>
    <w:qFormat/>
    <w:uiPriority w:val="10"/>
    <w:rPr>
      <w:rFonts w:ascii="Calibri Light" w:hAnsi="Calibri Light"/>
      <w:b/>
      <w:bCs/>
      <w:spacing w:val="-7"/>
      <w:sz w:val="48"/>
      <w:szCs w:val="48"/>
    </w:rPr>
  </w:style>
  <w:style w:type="character" w:customStyle="1" w:styleId="100">
    <w:name w:val="批注主题 字符"/>
    <w:link w:val="53"/>
    <w:autoRedefine/>
    <w:qFormat/>
    <w:uiPriority w:val="0"/>
    <w:rPr>
      <w:b/>
      <w:bCs/>
      <w:kern w:val="2"/>
      <w:sz w:val="21"/>
    </w:rPr>
  </w:style>
  <w:style w:type="character" w:customStyle="1" w:styleId="101">
    <w:name w:val="引用 Char1"/>
    <w:autoRedefine/>
    <w:qFormat/>
    <w:uiPriority w:val="29"/>
    <w:rPr>
      <w:i/>
      <w:iCs/>
      <w:color w:val="404040"/>
      <w:kern w:val="2"/>
      <w:sz w:val="21"/>
    </w:rPr>
  </w:style>
  <w:style w:type="character" w:customStyle="1" w:styleId="102">
    <w:name w:val="副标题 Char1"/>
    <w:autoRedefine/>
    <w:qFormat/>
    <w:uiPriority w:val="11"/>
    <w:rPr>
      <w:rFonts w:ascii="Calibri Light" w:hAnsi="Calibri Light" w:cs="Times New Roman"/>
      <w:b/>
      <w:bCs/>
      <w:kern w:val="28"/>
      <w:sz w:val="32"/>
      <w:szCs w:val="32"/>
    </w:rPr>
  </w:style>
  <w:style w:type="character" w:customStyle="1" w:styleId="103">
    <w:name w:val="纯文本 Char1"/>
    <w:link w:val="104"/>
    <w:autoRedefine/>
    <w:qFormat/>
    <w:uiPriority w:val="0"/>
    <w:rPr>
      <w:rFonts w:ascii="宋体" w:hAnsi="Courier New"/>
    </w:rPr>
  </w:style>
  <w:style w:type="paragraph" w:customStyle="1" w:styleId="104">
    <w:name w:val="纯文本1"/>
    <w:basedOn w:val="1"/>
    <w:link w:val="103"/>
    <w:autoRedefine/>
    <w:qFormat/>
    <w:uiPriority w:val="0"/>
    <w:rPr>
      <w:rFonts w:ascii="宋体" w:hAnsi="Courier New"/>
      <w:kern w:val="0"/>
      <w:sz w:val="20"/>
    </w:rPr>
  </w:style>
  <w:style w:type="character" w:customStyle="1" w:styleId="105">
    <w:name w:val="标题 1 Char1"/>
    <w:autoRedefine/>
    <w:qFormat/>
    <w:uiPriority w:val="9"/>
    <w:rPr>
      <w:rFonts w:ascii="Calibri Light" w:hAnsi="Calibri Light"/>
      <w:b/>
      <w:bCs/>
      <w:caps/>
      <w:spacing w:val="4"/>
      <w:sz w:val="28"/>
      <w:szCs w:val="28"/>
    </w:rPr>
  </w:style>
  <w:style w:type="character" w:customStyle="1" w:styleId="106">
    <w:name w:val="明显引用 字符"/>
    <w:link w:val="107"/>
    <w:autoRedefine/>
    <w:qFormat/>
    <w:uiPriority w:val="30"/>
    <w:rPr>
      <w:rFonts w:ascii="Calibri Light" w:hAnsi="Calibri Light"/>
      <w:sz w:val="26"/>
      <w:szCs w:val="26"/>
    </w:rPr>
  </w:style>
  <w:style w:type="paragraph" w:styleId="107">
    <w:name w:val="Intense Quote"/>
    <w:basedOn w:val="1"/>
    <w:next w:val="1"/>
    <w:link w:val="106"/>
    <w:autoRedefine/>
    <w:qFormat/>
    <w:uiPriority w:val="30"/>
    <w:pPr>
      <w:widowControl/>
      <w:spacing w:before="100" w:beforeAutospacing="1" w:after="240" w:line="252" w:lineRule="auto"/>
      <w:ind w:left="936" w:right="936"/>
      <w:jc w:val="center"/>
    </w:pPr>
    <w:rPr>
      <w:rFonts w:ascii="Calibri Light" w:hAnsi="Calibri Light"/>
      <w:kern w:val="0"/>
      <w:sz w:val="26"/>
      <w:szCs w:val="26"/>
    </w:rPr>
  </w:style>
  <w:style w:type="character" w:customStyle="1" w:styleId="108">
    <w:name w:val="签名 Char1"/>
    <w:autoRedefine/>
    <w:semiHidden/>
    <w:qFormat/>
    <w:uiPriority w:val="0"/>
    <w:rPr>
      <w:sz w:val="24"/>
      <w:szCs w:val="24"/>
    </w:rPr>
  </w:style>
  <w:style w:type="character" w:customStyle="1" w:styleId="109">
    <w:name w:val="书籍标题1"/>
    <w:autoRedefine/>
    <w:qFormat/>
    <w:uiPriority w:val="33"/>
    <w:rPr>
      <w:b/>
      <w:bCs/>
      <w:smallCaps/>
      <w:color w:val="auto"/>
    </w:rPr>
  </w:style>
  <w:style w:type="character" w:customStyle="1" w:styleId="110">
    <w:name w:val="不明显强调1"/>
    <w:autoRedefine/>
    <w:qFormat/>
    <w:uiPriority w:val="19"/>
    <w:rPr>
      <w:i/>
      <w:iCs/>
      <w:color w:val="auto"/>
    </w:rPr>
  </w:style>
  <w:style w:type="character" w:customStyle="1" w:styleId="111">
    <w:name w:val="明显引用 Char1"/>
    <w:autoRedefine/>
    <w:qFormat/>
    <w:uiPriority w:val="30"/>
    <w:rPr>
      <w:i/>
      <w:iCs/>
      <w:color w:val="5B9BD5"/>
      <w:kern w:val="2"/>
      <w:sz w:val="21"/>
    </w:rPr>
  </w:style>
  <w:style w:type="character" w:customStyle="1" w:styleId="112">
    <w:name w:val="标题 Char1"/>
    <w:autoRedefine/>
    <w:qFormat/>
    <w:uiPriority w:val="10"/>
    <w:rPr>
      <w:rFonts w:ascii="Calibri Light" w:hAnsi="Calibri Light" w:cs="Times New Roman"/>
      <w:b/>
      <w:bCs/>
      <w:kern w:val="2"/>
      <w:sz w:val="32"/>
      <w:szCs w:val="32"/>
    </w:rPr>
  </w:style>
  <w:style w:type="character" w:customStyle="1" w:styleId="113">
    <w:name w:val="正文文本 Char2"/>
    <w:autoRedefine/>
    <w:semiHidden/>
    <w:qFormat/>
    <w:uiPriority w:val="0"/>
    <w:rPr>
      <w:sz w:val="24"/>
      <w:szCs w:val="24"/>
    </w:rPr>
  </w:style>
  <w:style w:type="character" w:customStyle="1" w:styleId="114">
    <w:name w:val="正文格式（小四） Char"/>
    <w:link w:val="115"/>
    <w:autoRedefine/>
    <w:qFormat/>
    <w:locked/>
    <w:uiPriority w:val="0"/>
    <w:rPr>
      <w:kern w:val="24"/>
      <w:sz w:val="24"/>
      <w:szCs w:val="24"/>
    </w:rPr>
  </w:style>
  <w:style w:type="paragraph" w:customStyle="1" w:styleId="115">
    <w:name w:val="正文格式（小四）"/>
    <w:basedOn w:val="1"/>
    <w:link w:val="114"/>
    <w:autoRedefine/>
    <w:qFormat/>
    <w:uiPriority w:val="0"/>
    <w:pPr>
      <w:widowControl/>
      <w:adjustRightInd w:val="0"/>
      <w:snapToGrid w:val="0"/>
      <w:spacing w:after="160" w:line="360" w:lineRule="auto"/>
      <w:ind w:firstLine="482" w:firstLineChars="200"/>
      <w:jc w:val="left"/>
      <w:textAlignment w:val="baseline"/>
    </w:pPr>
    <w:rPr>
      <w:kern w:val="24"/>
      <w:sz w:val="24"/>
      <w:szCs w:val="24"/>
    </w:rPr>
  </w:style>
  <w:style w:type="character" w:customStyle="1" w:styleId="116">
    <w:name w:val="批注文字 Char2"/>
    <w:autoRedefine/>
    <w:semiHidden/>
    <w:qFormat/>
    <w:uiPriority w:val="0"/>
    <w:rPr>
      <w:sz w:val="24"/>
      <w:szCs w:val="24"/>
    </w:rPr>
  </w:style>
  <w:style w:type="character" w:customStyle="1" w:styleId="117">
    <w:name w:val="Plain Text Char"/>
    <w:autoRedefine/>
    <w:qFormat/>
    <w:locked/>
    <w:uiPriority w:val="0"/>
    <w:rPr>
      <w:rFonts w:ascii="宋体" w:hAnsi="Courier New" w:eastAsia="楷体_GB2312"/>
      <w:kern w:val="2"/>
      <w:sz w:val="26"/>
    </w:rPr>
  </w:style>
  <w:style w:type="character" w:customStyle="1" w:styleId="118">
    <w:name w:val="批注主题 Char1"/>
    <w:autoRedefine/>
    <w:semiHidden/>
    <w:qFormat/>
    <w:uiPriority w:val="0"/>
    <w:rPr>
      <w:b/>
      <w:bCs/>
      <w:sz w:val="24"/>
      <w:szCs w:val="24"/>
    </w:rPr>
  </w:style>
  <w:style w:type="character" w:customStyle="1" w:styleId="119">
    <w:name w:val="方案正文 Char"/>
    <w:link w:val="120"/>
    <w:autoRedefine/>
    <w:qFormat/>
    <w:uiPriority w:val="0"/>
    <w:rPr>
      <w:spacing w:val="2"/>
      <w:kern w:val="2"/>
      <w:sz w:val="21"/>
      <w:szCs w:val="21"/>
    </w:rPr>
  </w:style>
  <w:style w:type="paragraph" w:customStyle="1" w:styleId="120">
    <w:name w:val="方案正文"/>
    <w:basedOn w:val="1"/>
    <w:link w:val="119"/>
    <w:autoRedefine/>
    <w:qFormat/>
    <w:uiPriority w:val="0"/>
    <w:pPr>
      <w:widowControl/>
      <w:tabs>
        <w:tab w:val="left" w:pos="0"/>
      </w:tabs>
      <w:spacing w:line="360" w:lineRule="auto"/>
      <w:jc w:val="left"/>
    </w:pPr>
    <w:rPr>
      <w:spacing w:val="2"/>
      <w:szCs w:val="21"/>
    </w:rPr>
  </w:style>
  <w:style w:type="character" w:customStyle="1" w:styleId="121">
    <w:name w:val="正文文本 字符"/>
    <w:autoRedefine/>
    <w:qFormat/>
    <w:uiPriority w:val="0"/>
    <w:rPr>
      <w:rFonts w:ascii="楷体_GB2312" w:hAnsi="Arial" w:eastAsia="楷体_GB2312"/>
      <w:kern w:val="2"/>
      <w:sz w:val="28"/>
    </w:rPr>
  </w:style>
  <w:style w:type="character" w:customStyle="1" w:styleId="122">
    <w:name w:val="明显强调1"/>
    <w:autoRedefine/>
    <w:qFormat/>
    <w:uiPriority w:val="21"/>
    <w:rPr>
      <w:b/>
      <w:bCs/>
      <w:i/>
      <w:iCs/>
      <w:color w:val="auto"/>
    </w:rPr>
  </w:style>
  <w:style w:type="character" w:customStyle="1" w:styleId="123">
    <w:name w:val="引用 字符"/>
    <w:link w:val="124"/>
    <w:autoRedefine/>
    <w:qFormat/>
    <w:uiPriority w:val="29"/>
    <w:rPr>
      <w:rFonts w:ascii="Calibri Light" w:hAnsi="Calibri Light"/>
      <w:i/>
      <w:iCs/>
      <w:sz w:val="24"/>
      <w:szCs w:val="24"/>
    </w:rPr>
  </w:style>
  <w:style w:type="paragraph" w:styleId="124">
    <w:name w:val="Quote"/>
    <w:basedOn w:val="1"/>
    <w:next w:val="1"/>
    <w:link w:val="123"/>
    <w:autoRedefine/>
    <w:qFormat/>
    <w:uiPriority w:val="29"/>
    <w:pPr>
      <w:widowControl/>
      <w:spacing w:before="200" w:after="160" w:line="264" w:lineRule="auto"/>
      <w:ind w:left="864" w:right="864"/>
      <w:jc w:val="center"/>
    </w:pPr>
    <w:rPr>
      <w:rFonts w:ascii="Calibri Light" w:hAnsi="Calibri Light"/>
      <w:i/>
      <w:iCs/>
      <w:kern w:val="0"/>
      <w:sz w:val="24"/>
      <w:szCs w:val="24"/>
    </w:rPr>
  </w:style>
  <w:style w:type="character" w:customStyle="1" w:styleId="125">
    <w:name w:val="页眉 Char1"/>
    <w:autoRedefine/>
    <w:semiHidden/>
    <w:qFormat/>
    <w:uiPriority w:val="99"/>
    <w:rPr>
      <w:sz w:val="18"/>
      <w:szCs w:val="18"/>
    </w:rPr>
  </w:style>
  <w:style w:type="character" w:customStyle="1" w:styleId="126">
    <w:name w:val="列出段落 字符"/>
    <w:link w:val="127"/>
    <w:autoRedefine/>
    <w:qFormat/>
    <w:locked/>
    <w:uiPriority w:val="34"/>
    <w:rPr>
      <w:kern w:val="2"/>
      <w:sz w:val="24"/>
      <w:szCs w:val="21"/>
    </w:rPr>
  </w:style>
  <w:style w:type="paragraph" w:styleId="127">
    <w:name w:val="List Paragraph"/>
    <w:basedOn w:val="1"/>
    <w:link w:val="126"/>
    <w:autoRedefine/>
    <w:qFormat/>
    <w:uiPriority w:val="34"/>
    <w:pPr>
      <w:spacing w:line="360" w:lineRule="auto"/>
      <w:ind w:firstLine="420" w:firstLineChars="200"/>
    </w:pPr>
    <w:rPr>
      <w:sz w:val="24"/>
      <w:szCs w:val="21"/>
    </w:rPr>
  </w:style>
  <w:style w:type="character" w:customStyle="1" w:styleId="128">
    <w:name w:val="不明显参考1"/>
    <w:autoRedefine/>
    <w:qFormat/>
    <w:uiPriority w:val="31"/>
    <w:rPr>
      <w:smallCaps/>
      <w:color w:val="auto"/>
      <w:u w:val="single" w:color="7F7F7F"/>
    </w:rPr>
  </w:style>
  <w:style w:type="character" w:customStyle="1" w:styleId="129">
    <w:name w:val="日期 Char1"/>
    <w:autoRedefine/>
    <w:semiHidden/>
    <w:qFormat/>
    <w:uiPriority w:val="0"/>
    <w:rPr>
      <w:sz w:val="24"/>
      <w:szCs w:val="24"/>
    </w:rPr>
  </w:style>
  <w:style w:type="character" w:customStyle="1" w:styleId="130">
    <w:name w:val="正文文本 Char1"/>
    <w:autoRedefine/>
    <w:qFormat/>
    <w:uiPriority w:val="0"/>
    <w:rPr>
      <w:rFonts w:ascii="楷体_GB2312" w:hAnsi="Arial" w:eastAsia="楷体_GB2312"/>
      <w:kern w:val="2"/>
      <w:sz w:val="28"/>
    </w:rPr>
  </w:style>
  <w:style w:type="character" w:customStyle="1" w:styleId="131">
    <w:name w:val="签名 字符"/>
    <w:autoRedefine/>
    <w:qFormat/>
    <w:locked/>
    <w:uiPriority w:val="0"/>
    <w:rPr>
      <w:rFonts w:eastAsia="仿宋_GB2312"/>
      <w:sz w:val="24"/>
    </w:rPr>
  </w:style>
  <w:style w:type="character" w:customStyle="1" w:styleId="132">
    <w:name w:val="批注文字 Char"/>
    <w:autoRedefine/>
    <w:qFormat/>
    <w:uiPriority w:val="0"/>
    <w:rPr>
      <w:kern w:val="2"/>
      <w:sz w:val="21"/>
    </w:rPr>
  </w:style>
  <w:style w:type="character" w:customStyle="1" w:styleId="133">
    <w:name w:val="批注框文本 Char1"/>
    <w:autoRedefine/>
    <w:semiHidden/>
    <w:qFormat/>
    <w:uiPriority w:val="0"/>
    <w:rPr>
      <w:sz w:val="18"/>
      <w:szCs w:val="18"/>
    </w:rPr>
  </w:style>
  <w:style w:type="character" w:customStyle="1" w:styleId="134">
    <w:name w:val="正文缩进 Char1"/>
    <w:link w:val="135"/>
    <w:autoRedefine/>
    <w:qFormat/>
    <w:uiPriority w:val="0"/>
    <w:rPr>
      <w:rFonts w:ascii="宋体"/>
      <w:sz w:val="24"/>
    </w:rPr>
  </w:style>
  <w:style w:type="paragraph" w:customStyle="1" w:styleId="135">
    <w:name w:val="正文缩进1"/>
    <w:basedOn w:val="1"/>
    <w:next w:val="1"/>
    <w:link w:val="134"/>
    <w:autoRedefine/>
    <w:qFormat/>
    <w:uiPriority w:val="0"/>
    <w:pPr>
      <w:autoSpaceDE w:val="0"/>
      <w:autoSpaceDN w:val="0"/>
      <w:adjustRightInd w:val="0"/>
      <w:ind w:firstLine="420"/>
      <w:jc w:val="left"/>
    </w:pPr>
    <w:rPr>
      <w:rFonts w:ascii="宋体"/>
      <w:kern w:val="0"/>
      <w:sz w:val="24"/>
    </w:rPr>
  </w:style>
  <w:style w:type="character" w:customStyle="1" w:styleId="136">
    <w:name w:val="HTML 预设格式 Char1"/>
    <w:autoRedefine/>
    <w:semiHidden/>
    <w:qFormat/>
    <w:uiPriority w:val="0"/>
    <w:rPr>
      <w:rFonts w:ascii="Courier New" w:hAnsi="Courier New" w:cs="Courier New"/>
    </w:rPr>
  </w:style>
  <w:style w:type="character" w:customStyle="1" w:styleId="137">
    <w:name w:val="明显参考1"/>
    <w:autoRedefine/>
    <w:qFormat/>
    <w:uiPriority w:val="32"/>
    <w:rPr>
      <w:b/>
      <w:bCs/>
      <w:smallCaps/>
      <w:color w:val="auto"/>
      <w:u w:val="single"/>
    </w:rPr>
  </w:style>
  <w:style w:type="paragraph" w:customStyle="1" w:styleId="138">
    <w:name w:val="Char Char"/>
    <w:basedOn w:val="1"/>
    <w:autoRedefine/>
    <w:qFormat/>
    <w:uiPriority w:val="0"/>
    <w:rPr>
      <w:szCs w:val="21"/>
    </w:rPr>
  </w:style>
  <w:style w:type="paragraph" w:customStyle="1" w:styleId="139">
    <w:name w:val="Default"/>
    <w:autoRedefine/>
    <w:qFormat/>
    <w:uiPriority w:val="0"/>
    <w:pPr>
      <w:widowControl w:val="0"/>
      <w:autoSpaceDE w:val="0"/>
      <w:autoSpaceDN w:val="0"/>
      <w:adjustRightInd w:val="0"/>
    </w:pPr>
    <w:rPr>
      <w:rFonts w:ascii="Calibri" w:hAnsi="Calibri" w:eastAsia="宋体" w:cs="Times New Roman"/>
      <w:color w:val="000000"/>
      <w:sz w:val="24"/>
      <w:szCs w:val="24"/>
      <w:lang w:val="en-US" w:eastAsia="zh-CN" w:bidi="ar-SA"/>
    </w:rPr>
  </w:style>
  <w:style w:type="paragraph" w:customStyle="1" w:styleId="140">
    <w:name w:val="Char Char1 Char Char Char Char Char Char Char"/>
    <w:basedOn w:val="1"/>
    <w:autoRedefine/>
    <w:qFormat/>
    <w:uiPriority w:val="0"/>
    <w:rPr>
      <w:rFonts w:ascii="Tahoma" w:hAnsi="Tahoma"/>
      <w:sz w:val="24"/>
    </w:rPr>
  </w:style>
  <w:style w:type="paragraph" w:customStyle="1" w:styleId="141">
    <w:name w:val="索引 11"/>
    <w:basedOn w:val="1"/>
    <w:next w:val="1"/>
    <w:autoRedefine/>
    <w:qFormat/>
    <w:uiPriority w:val="0"/>
    <w:pPr>
      <w:spacing w:line="360" w:lineRule="auto"/>
    </w:pPr>
    <w:rPr>
      <w:rFonts w:ascii="仿宋_GB2312" w:eastAsia="仿宋_GB2312"/>
      <w:sz w:val="24"/>
    </w:rPr>
  </w:style>
  <w:style w:type="paragraph" w:styleId="142">
    <w:name w:val="No Spacing"/>
    <w:autoRedefine/>
    <w:qFormat/>
    <w:uiPriority w:val="1"/>
    <w:pPr>
      <w:jc w:val="both"/>
    </w:pPr>
    <w:rPr>
      <w:rFonts w:ascii="Calibri" w:hAnsi="Calibri" w:eastAsia="宋体" w:cs="Times New Roman"/>
      <w:sz w:val="22"/>
      <w:szCs w:val="22"/>
      <w:lang w:val="en-US" w:eastAsia="zh-CN" w:bidi="ar-SA"/>
    </w:rPr>
  </w:style>
  <w:style w:type="paragraph" w:customStyle="1" w:styleId="143">
    <w:name w:val="Char Char Char"/>
    <w:basedOn w:val="1"/>
    <w:autoRedefine/>
    <w:qFormat/>
    <w:uiPriority w:val="0"/>
    <w:pPr>
      <w:tabs>
        <w:tab w:val="left" w:pos="375"/>
        <w:tab w:val="left" w:pos="1545"/>
      </w:tabs>
      <w:ind w:left="375" w:hanging="375"/>
    </w:pPr>
  </w:style>
  <w:style w:type="paragraph" w:customStyle="1" w:styleId="144">
    <w:name w:val="Char"/>
    <w:basedOn w:val="1"/>
    <w:autoRedefine/>
    <w:qFormat/>
    <w:uiPriority w:val="0"/>
    <w:pPr>
      <w:numPr>
        <w:ilvl w:val="0"/>
        <w:numId w:val="1"/>
      </w:numPr>
    </w:pPr>
    <w:rPr>
      <w:sz w:val="24"/>
      <w:szCs w:val="24"/>
    </w:rPr>
  </w:style>
  <w:style w:type="paragraph" w:customStyle="1" w:styleId="145">
    <w:name w:val="Char1 Char Char Char"/>
    <w:basedOn w:val="1"/>
    <w:autoRedefine/>
    <w:qFormat/>
    <w:uiPriority w:val="0"/>
    <w:rPr>
      <w:rFonts w:ascii="Tahoma" w:hAnsi="Tahoma"/>
      <w:sz w:val="24"/>
    </w:rPr>
  </w:style>
  <w:style w:type="paragraph" w:customStyle="1" w:styleId="146">
    <w:name w:val="Char Char Char Char"/>
    <w:basedOn w:val="16"/>
    <w:autoRedefine/>
    <w:qFormat/>
    <w:uiPriority w:val="0"/>
    <w:pPr>
      <w:adjustRightInd w:val="0"/>
      <w:snapToGrid w:val="0"/>
      <w:spacing w:line="360" w:lineRule="auto"/>
    </w:pPr>
    <w:rPr>
      <w:rFonts w:ascii="Tahoma" w:hAnsi="Tahoma"/>
      <w:sz w:val="24"/>
      <w:szCs w:val="24"/>
    </w:rPr>
  </w:style>
  <w:style w:type="paragraph" w:customStyle="1" w:styleId="147">
    <w:name w:val="Char Char Char1"/>
    <w:basedOn w:val="1"/>
    <w:autoRedefine/>
    <w:qFormat/>
    <w:uiPriority w:val="0"/>
    <w:pPr>
      <w:numPr>
        <w:ilvl w:val="0"/>
        <w:numId w:val="2"/>
      </w:numPr>
      <w:tabs>
        <w:tab w:val="left" w:pos="375"/>
        <w:tab w:val="left" w:pos="1545"/>
      </w:tabs>
    </w:pPr>
  </w:style>
  <w:style w:type="paragraph" w:customStyle="1" w:styleId="148">
    <w:name w:val="样式1"/>
    <w:basedOn w:val="1"/>
    <w:autoRedefine/>
    <w:qFormat/>
    <w:uiPriority w:val="0"/>
    <w:pPr>
      <w:numPr>
        <w:ilvl w:val="0"/>
        <w:numId w:val="3"/>
      </w:numPr>
      <w:adjustRightInd w:val="0"/>
      <w:textAlignment w:val="baseline"/>
    </w:pPr>
    <w:rPr>
      <w:rFonts w:ascii="宋体" w:hAnsi="宋体"/>
      <w:kern w:val="0"/>
      <w:szCs w:val="21"/>
    </w:rPr>
  </w:style>
  <w:style w:type="paragraph" w:customStyle="1" w:styleId="149">
    <w:name w:val="_Style 12"/>
    <w:basedOn w:val="16"/>
    <w:autoRedefine/>
    <w:qFormat/>
    <w:uiPriority w:val="0"/>
    <w:pPr>
      <w:widowControl/>
      <w:adjustRightInd w:val="0"/>
      <w:snapToGrid w:val="0"/>
      <w:spacing w:line="360" w:lineRule="auto"/>
      <w:jc w:val="left"/>
    </w:pPr>
    <w:rPr>
      <w:kern w:val="0"/>
      <w:sz w:val="24"/>
      <w:szCs w:val="24"/>
    </w:rPr>
  </w:style>
  <w:style w:type="paragraph" w:customStyle="1" w:styleId="150">
    <w:name w:val="Plain Text1"/>
    <w:basedOn w:val="1"/>
    <w:autoRedefine/>
    <w:qFormat/>
    <w:uiPriority w:val="0"/>
    <w:pPr>
      <w:adjustRightInd w:val="0"/>
      <w:textAlignment w:val="baseline"/>
    </w:pPr>
    <w:rPr>
      <w:rFonts w:ascii="宋体" w:hAnsi="Courier New" w:eastAsia="楷体_GB2312"/>
      <w:sz w:val="28"/>
    </w:rPr>
  </w:style>
  <w:style w:type="paragraph" w:customStyle="1" w:styleId="151">
    <w:name w:val="列出段落1"/>
    <w:autoRedefine/>
    <w:qFormat/>
    <w:uiPriority w:val="0"/>
    <w:pPr>
      <w:pBdr>
        <w:top w:val="none" w:color="FFFFFF" w:sz="0" w:space="31"/>
        <w:left w:val="none" w:color="FFFFFF" w:sz="0" w:space="31"/>
        <w:bottom w:val="none" w:color="FFFFFF" w:sz="0" w:space="31"/>
        <w:right w:val="none" w:color="FFFFFF" w:sz="0" w:space="31"/>
      </w:pBdr>
      <w:ind w:left="720"/>
    </w:pPr>
    <w:rPr>
      <w:rFonts w:ascii="Arial" w:hAnsi="Arial" w:eastAsia="宋体" w:cs="Arial"/>
      <w:color w:val="000000"/>
      <w:sz w:val="24"/>
      <w:szCs w:val="24"/>
      <w:u w:color="000000"/>
      <w:lang w:val="en-US" w:eastAsia="zh-CN" w:bidi="ar-SA"/>
    </w:rPr>
  </w:style>
  <w:style w:type="paragraph" w:customStyle="1" w:styleId="152">
    <w:name w:val="Char Char1 Char Char Char Char Char Char Char1"/>
    <w:basedOn w:val="1"/>
    <w:autoRedefine/>
    <w:qFormat/>
    <w:uiPriority w:val="0"/>
    <w:rPr>
      <w:rFonts w:ascii="Calibri Light" w:hAnsi="Calibri Light" w:cs="Berlin Sans FB Demi"/>
      <w:sz w:val="24"/>
    </w:rPr>
  </w:style>
  <w:style w:type="paragraph" w:customStyle="1" w:styleId="153">
    <w:name w:val="TOC 标题1"/>
    <w:basedOn w:val="2"/>
    <w:next w:val="1"/>
    <w:autoRedefine/>
    <w:qFormat/>
    <w:uiPriority w:val="39"/>
    <w:pPr>
      <w:keepLines/>
      <w:widowControl/>
      <w:tabs>
        <w:tab w:val="clear" w:pos="200"/>
      </w:tabs>
      <w:spacing w:before="320" w:after="40" w:line="252" w:lineRule="auto"/>
      <w:jc w:val="both"/>
      <w:outlineLvl w:val="9"/>
    </w:pPr>
    <w:rPr>
      <w:rFonts w:ascii="Calibri Light" w:hAnsi="Calibri Light"/>
      <w:bCs/>
      <w:caps/>
      <w:spacing w:val="4"/>
      <w:kern w:val="0"/>
      <w:sz w:val="28"/>
      <w:szCs w:val="28"/>
    </w:rPr>
  </w:style>
  <w:style w:type="table" w:customStyle="1" w:styleId="154">
    <w:name w:val="网格型1"/>
    <w:basedOn w:val="54"/>
    <w:autoRedefine/>
    <w:qFormat/>
    <w:uiPriority w:val="0"/>
    <w:pPr>
      <w:widowControl w:val="0"/>
      <w:jc w:val="both"/>
    </w:pPr>
    <w:rPr>
      <w:rFonts w:cs="Calibri"/>
      <w:kern w:val="2"/>
      <w:sz w:val="21"/>
      <w:szCs w:val="22"/>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155">
    <w:name w:val="正文首行缩进 字符"/>
    <w:basedOn w:val="87"/>
    <w:autoRedefine/>
    <w:qFormat/>
    <w:uiPriority w:val="0"/>
    <w:rPr>
      <w:rFonts w:ascii="楷体_GB2312" w:hAnsi="Arial" w:eastAsia="楷体_GB2312"/>
      <w:kern w:val="2"/>
      <w:sz w:val="21"/>
    </w:rPr>
  </w:style>
  <w:style w:type="character" w:customStyle="1" w:styleId="156">
    <w:name w:val="正文首行缩进 字符1"/>
    <w:link w:val="20"/>
    <w:autoRedefine/>
    <w:qFormat/>
    <w:uiPriority w:val="99"/>
    <w:rPr>
      <w:kern w:val="2"/>
      <w:sz w:val="21"/>
    </w:rPr>
  </w:style>
  <w:style w:type="paragraph" w:customStyle="1" w:styleId="157">
    <w:name w:val="纯文本2"/>
    <w:basedOn w:val="1"/>
    <w:autoRedefine/>
    <w:qFormat/>
    <w:uiPriority w:val="0"/>
    <w:pPr>
      <w:adjustRightInd w:val="0"/>
    </w:pPr>
    <w:rPr>
      <w:rFonts w:ascii="宋体" w:hAnsi="Courier New" w:eastAsia="楷体_GB2312"/>
      <w:sz w:val="28"/>
    </w:rPr>
  </w:style>
  <w:style w:type="character" w:customStyle="1" w:styleId="158">
    <w:name w:val="NormalCharacter"/>
    <w:autoRedefine/>
    <w:semiHidden/>
    <w:qFormat/>
    <w:uiPriority w:val="0"/>
    <w:rPr>
      <w:kern w:val="2"/>
      <w:sz w:val="21"/>
      <w:lang w:val="en-US" w:eastAsia="zh-CN" w:bidi="ar-SA"/>
    </w:rPr>
  </w:style>
  <w:style w:type="character" w:customStyle="1" w:styleId="159">
    <w:name w:val="Plain Text Char Char"/>
    <w:autoRedefine/>
    <w:qFormat/>
    <w:uiPriority w:val="0"/>
    <w:rPr>
      <w:rFonts w:ascii="宋体" w:hAnsi="Courier New" w:eastAsia="楷体_GB2312"/>
      <w:kern w:val="2"/>
      <w:sz w:val="28"/>
    </w:rPr>
  </w:style>
  <w:style w:type="character" w:customStyle="1" w:styleId="160">
    <w:name w:val="text1 Char"/>
    <w:link w:val="161"/>
    <w:autoRedefine/>
    <w:qFormat/>
    <w:uiPriority w:val="0"/>
    <w:rPr>
      <w:kern w:val="0"/>
      <w:sz w:val="24"/>
      <w:lang w:val="zh-CN"/>
    </w:rPr>
  </w:style>
  <w:style w:type="paragraph" w:customStyle="1" w:styleId="161">
    <w:name w:val="text1"/>
    <w:basedOn w:val="1"/>
    <w:link w:val="160"/>
    <w:autoRedefine/>
    <w:qFormat/>
    <w:uiPriority w:val="0"/>
    <w:pPr>
      <w:spacing w:line="360" w:lineRule="auto"/>
      <w:ind w:firstLine="200" w:firstLineChars="200"/>
    </w:pPr>
    <w:rPr>
      <w:kern w:val="0"/>
      <w:sz w:val="24"/>
      <w:lang w:val="zh-CN"/>
    </w:rPr>
  </w:style>
  <w:style w:type="paragraph" w:customStyle="1" w:styleId="162">
    <w:name w:val="Body text|1"/>
    <w:basedOn w:val="1"/>
    <w:autoRedefine/>
    <w:qFormat/>
    <w:uiPriority w:val="0"/>
    <w:pPr>
      <w:spacing w:after="80" w:line="401" w:lineRule="auto"/>
      <w:ind w:firstLine="240"/>
    </w:pPr>
    <w:rPr>
      <w:rFonts w:ascii="宋体" w:hAnsi="宋体" w:cs="宋体"/>
      <w:sz w:val="22"/>
      <w:szCs w:val="22"/>
      <w:lang w:val="zh-TW" w:eastAsia="zh-TW" w:bidi="zh-TW"/>
    </w:rPr>
  </w:style>
  <w:style w:type="paragraph" w:customStyle="1" w:styleId="163">
    <w:name w:val="Other|1"/>
    <w:basedOn w:val="1"/>
    <w:autoRedefine/>
    <w:qFormat/>
    <w:uiPriority w:val="0"/>
    <w:pPr>
      <w:spacing w:after="80" w:line="401" w:lineRule="auto"/>
      <w:ind w:firstLine="240"/>
    </w:pPr>
    <w:rPr>
      <w:rFonts w:ascii="宋体" w:hAnsi="宋体" w:cs="宋体"/>
      <w:sz w:val="22"/>
      <w:szCs w:val="22"/>
      <w:lang w:val="zh-TW" w:eastAsia="zh-TW" w:bidi="zh-TW"/>
    </w:rPr>
  </w:style>
  <w:style w:type="paragraph" w:customStyle="1" w:styleId="164">
    <w:name w:val="Header or footer|2"/>
    <w:basedOn w:val="1"/>
    <w:autoRedefine/>
    <w:qFormat/>
    <w:uiPriority w:val="0"/>
    <w:rPr>
      <w:sz w:val="20"/>
      <w:lang w:val="zh-TW" w:eastAsia="zh-TW" w:bidi="zh-TW"/>
    </w:rPr>
  </w:style>
  <w:style w:type="paragraph" w:customStyle="1" w:styleId="165">
    <w:name w:val="Heading #3|1"/>
    <w:basedOn w:val="1"/>
    <w:autoRedefine/>
    <w:qFormat/>
    <w:uiPriority w:val="0"/>
    <w:pPr>
      <w:spacing w:line="432" w:lineRule="exact"/>
      <w:ind w:left="2180" w:firstLine="20"/>
      <w:outlineLvl w:val="2"/>
    </w:pPr>
    <w:rPr>
      <w:rFonts w:ascii="宋体" w:hAnsi="宋体" w:cs="宋体"/>
      <w:sz w:val="26"/>
      <w:szCs w:val="26"/>
      <w:lang w:val="zh-TW" w:eastAsia="zh-TW" w:bidi="zh-TW"/>
    </w:rPr>
  </w:style>
  <w:style w:type="paragraph" w:customStyle="1" w:styleId="166">
    <w:name w:val="Header or footer|1"/>
    <w:basedOn w:val="1"/>
    <w:autoRedefine/>
    <w:qFormat/>
    <w:uiPriority w:val="0"/>
    <w:pPr>
      <w:jc w:val="right"/>
    </w:pPr>
    <w:rPr>
      <w:rFonts w:ascii="宋体" w:hAnsi="宋体" w:cs="宋体"/>
      <w:sz w:val="26"/>
      <w:szCs w:val="26"/>
      <w:lang w:val="zh-TW" w:eastAsia="zh-TW" w:bidi="zh-TW"/>
    </w:rPr>
  </w:style>
  <w:style w:type="character" w:customStyle="1" w:styleId="167">
    <w:name w:val="hover"/>
    <w:basedOn w:val="56"/>
    <w:autoRedefine/>
    <w:qFormat/>
    <w:uiPriority w:val="0"/>
    <w:rPr>
      <w:color w:val="2590EB"/>
    </w:rPr>
  </w:style>
  <w:style w:type="character" w:customStyle="1" w:styleId="168">
    <w:name w:val="hover1"/>
    <w:basedOn w:val="56"/>
    <w:autoRedefine/>
    <w:qFormat/>
    <w:uiPriority w:val="0"/>
    <w:rPr>
      <w:color w:val="2590EB"/>
    </w:rPr>
  </w:style>
  <w:style w:type="character" w:customStyle="1" w:styleId="169">
    <w:name w:val="hover2"/>
    <w:basedOn w:val="56"/>
    <w:autoRedefine/>
    <w:qFormat/>
    <w:uiPriority w:val="0"/>
  </w:style>
  <w:style w:type="character" w:customStyle="1" w:styleId="170">
    <w:name w:val="hover3"/>
    <w:basedOn w:val="56"/>
    <w:autoRedefine/>
    <w:qFormat/>
    <w:uiPriority w:val="0"/>
    <w:rPr>
      <w:color w:val="2590EB"/>
      <w:shd w:val="clear" w:color="auto" w:fill="E9F4FD"/>
    </w:rPr>
  </w:style>
  <w:style w:type="paragraph" w:customStyle="1" w:styleId="171">
    <w:name w:val="标题 3.1"/>
    <w:basedOn w:val="4"/>
    <w:autoRedefine/>
    <w:qFormat/>
    <w:uiPriority w:val="0"/>
    <w:pPr>
      <w:keepLines/>
      <w:tabs>
        <w:tab w:val="left" w:pos="1440"/>
        <w:tab w:val="left" w:pos="1620"/>
      </w:tabs>
      <w:spacing w:before="260" w:after="260" w:line="600" w:lineRule="exact"/>
      <w:jc w:val="both"/>
    </w:pPr>
    <w:rPr>
      <w:b/>
      <w:color w:val="FF0000"/>
      <w:sz w:val="32"/>
    </w:rPr>
  </w:style>
  <w:style w:type="paragraph" w:customStyle="1" w:styleId="172">
    <w:name w:val="Char Char1 Char Char Char Char Char Char Char2"/>
    <w:basedOn w:val="1"/>
    <w:autoRedefine/>
    <w:qFormat/>
    <w:uiPriority w:val="0"/>
    <w:rPr>
      <w:rFonts w:ascii="Tahoma" w:hAnsi="Tahoma"/>
      <w:sz w:val="24"/>
    </w:rPr>
  </w:style>
  <w:style w:type="paragraph" w:customStyle="1" w:styleId="173">
    <w:name w:val="普通(网站)1"/>
    <w:basedOn w:val="1"/>
    <w:autoRedefine/>
    <w:qFormat/>
    <w:uiPriority w:val="0"/>
    <w:pPr>
      <w:widowControl/>
      <w:spacing w:before="100" w:beforeAutospacing="1" w:after="100" w:afterAutospacing="1"/>
      <w:jc w:val="left"/>
    </w:pPr>
    <w:rPr>
      <w:rFonts w:ascii="宋体" w:hAnsi="宋体" w:cs="宋体"/>
      <w:sz w:val="24"/>
    </w:rPr>
  </w:style>
  <w:style w:type="paragraph" w:customStyle="1" w:styleId="174">
    <w:name w:val="普通正文"/>
    <w:basedOn w:val="1"/>
    <w:autoRedefine/>
    <w:qFormat/>
    <w:uiPriority w:val="0"/>
    <w:pPr>
      <w:spacing w:before="120" w:after="120" w:line="360" w:lineRule="auto"/>
      <w:ind w:firstLine="480"/>
      <w:jc w:val="left"/>
    </w:pPr>
    <w:rPr>
      <w:rFonts w:ascii="Arial" w:hAnsi="Arial"/>
      <w:sz w:val="24"/>
      <w:szCs w:val="24"/>
    </w:rPr>
  </w:style>
  <w:style w:type="character" w:customStyle="1" w:styleId="175">
    <w:name w:val="默认段落字体1"/>
    <w:autoRedefine/>
    <w:unhideWhenUsed/>
    <w:qFormat/>
    <w:uiPriority w:val="1"/>
    <w:rPr>
      <w:rFonts w:ascii="Calibri" w:hAnsi="Calibri" w:eastAsia="宋体" w:cs="Times New Roman"/>
      <w:kern w:val="2"/>
      <w:sz w:val="21"/>
      <w:lang w:val="en-US" w:eastAsia="zh-CN" w:bidi="ar-SA"/>
    </w:rPr>
  </w:style>
  <w:style w:type="paragraph" w:customStyle="1" w:styleId="176">
    <w:name w:val="Normal_0_2"/>
    <w:autoRedefine/>
    <w:qFormat/>
    <w:uiPriority w:val="0"/>
    <w:rPr>
      <w:rFonts w:ascii="Times New Roman" w:hAnsi="Times New Roman" w:eastAsia="Times New Roman" w:cs="Times New Roman"/>
      <w:sz w:val="24"/>
      <w:szCs w:val="24"/>
      <w:lang w:val="en-US" w:eastAsia="zh-CN" w:bidi="ar-SA"/>
    </w:rPr>
  </w:style>
  <w:style w:type="paragraph" w:customStyle="1" w:styleId="177">
    <w:name w:val="正文文本1"/>
    <w:basedOn w:val="1"/>
    <w:next w:val="135"/>
    <w:qFormat/>
    <w:uiPriority w:val="0"/>
    <w:rPr>
      <w:rFonts w:ascii="楷体_GB2312" w:hAnsi="Arial" w:eastAsia="楷体_GB2312"/>
      <w:sz w:val="28"/>
    </w:rPr>
  </w:style>
  <w:style w:type="paragraph" w:customStyle="1" w:styleId="178">
    <w:name w:val="正文文本缩进1"/>
    <w:basedOn w:val="1"/>
    <w:next w:val="179"/>
    <w:qFormat/>
    <w:uiPriority w:val="0"/>
    <w:pPr>
      <w:spacing w:line="312" w:lineRule="atLeast"/>
      <w:ind w:firstLine="574"/>
    </w:pPr>
    <w:rPr>
      <w:rFonts w:ascii="宋体"/>
      <w:sz w:val="28"/>
    </w:rPr>
  </w:style>
  <w:style w:type="paragraph" w:customStyle="1" w:styleId="179">
    <w:name w:val="寄信人地址1"/>
    <w:basedOn w:val="1"/>
    <w:qFormat/>
    <w:uiPriority w:val="0"/>
    <w:rPr>
      <w:rFonts w:ascii="Arial" w:hAnsi="Arial"/>
    </w:rPr>
  </w:style>
  <w:style w:type="character" w:customStyle="1" w:styleId="180">
    <w:name w:val="font11"/>
    <w:basedOn w:val="56"/>
    <w:qFormat/>
    <w:uiPriority w:val="0"/>
    <w:rPr>
      <w:rFonts w:hint="eastAsia" w:ascii="宋体" w:hAnsi="宋体" w:eastAsia="宋体" w:cs="宋体"/>
      <w:b/>
      <w:bCs/>
      <w:color w:val="000000"/>
      <w:sz w:val="24"/>
      <w:szCs w:val="24"/>
      <w:u w:val="none"/>
    </w:rPr>
  </w:style>
  <w:style w:type="character" w:customStyle="1" w:styleId="181">
    <w:name w:val="font81"/>
    <w:basedOn w:val="56"/>
    <w:qFormat/>
    <w:uiPriority w:val="0"/>
    <w:rPr>
      <w:rFonts w:hint="eastAsia" w:ascii="宋体" w:hAnsi="宋体" w:eastAsia="宋体" w:cs="宋体"/>
      <w:b/>
      <w:bCs/>
      <w:color w:val="000000"/>
      <w:sz w:val="24"/>
      <w:szCs w:val="24"/>
      <w:u w:val="single"/>
    </w:rPr>
  </w:style>
  <w:style w:type="character" w:customStyle="1" w:styleId="182">
    <w:name w:val="font71"/>
    <w:basedOn w:val="56"/>
    <w:qFormat/>
    <w:uiPriority w:val="0"/>
    <w:rPr>
      <w:rFonts w:hint="default" w:ascii="MS Mincho" w:hAnsi="MS Mincho" w:eastAsia="MS Mincho" w:cs="MS Mincho"/>
      <w:color w:val="000000"/>
      <w:sz w:val="22"/>
      <w:szCs w:val="22"/>
      <w:u w:val="none"/>
    </w:rPr>
  </w:style>
  <w:style w:type="character" w:customStyle="1" w:styleId="183">
    <w:name w:val="font31"/>
    <w:basedOn w:val="56"/>
    <w:qFormat/>
    <w:uiPriority w:val="0"/>
    <w:rPr>
      <w:rFonts w:hint="eastAsia" w:ascii="宋体" w:hAnsi="宋体" w:eastAsia="宋体" w:cs="宋体"/>
      <w:color w:val="000000"/>
      <w:sz w:val="22"/>
      <w:szCs w:val="22"/>
      <w:u w:val="none"/>
    </w:rPr>
  </w:style>
  <w:style w:type="character" w:customStyle="1" w:styleId="184">
    <w:name w:val="font41"/>
    <w:basedOn w:val="56"/>
    <w:qFormat/>
    <w:uiPriority w:val="0"/>
    <w:rPr>
      <w:rFonts w:hint="eastAsia" w:ascii="宋体" w:hAnsi="宋体" w:eastAsia="宋体" w:cs="宋体"/>
      <w:color w:val="000000"/>
      <w:sz w:val="24"/>
      <w:szCs w:val="24"/>
      <w:u w:val="none"/>
    </w:rPr>
  </w:style>
  <w:style w:type="paragraph" w:customStyle="1" w:styleId="185">
    <w:name w:val="正文首行缩进1"/>
    <w:basedOn w:val="177"/>
    <w:next w:val="186"/>
    <w:unhideWhenUsed/>
    <w:qFormat/>
    <w:uiPriority w:val="99"/>
    <w:pPr>
      <w:ind w:firstLine="420"/>
    </w:pPr>
  </w:style>
  <w:style w:type="paragraph" w:customStyle="1" w:styleId="186">
    <w:name w:val="正文首行缩进 21"/>
    <w:basedOn w:val="178"/>
    <w:next w:val="185"/>
    <w:qFormat/>
    <w:uiPriority w:val="0"/>
    <w:pPr>
      <w:ind w:firstLine="420"/>
    </w:pPr>
  </w:style>
</w:styles>
</file>

<file path=word/_rels/document.xml.rels><?xml version="1.0" encoding="UTF-8" standalone="yes"?>
<Relationships xmlns="http://schemas.openxmlformats.org/package/2006/relationships"><Relationship Id="rId9" Type="http://schemas.openxmlformats.org/officeDocument/2006/relationships/footer" Target="footer4.xml"/><Relationship Id="rId8" Type="http://schemas.openxmlformats.org/officeDocument/2006/relationships/footer" Target="footer3.xml"/><Relationship Id="rId7" Type="http://schemas.openxmlformats.org/officeDocument/2006/relationships/footer" Target="footer2.xml"/><Relationship Id="rId6" Type="http://schemas.openxmlformats.org/officeDocument/2006/relationships/footer" Target="footer1.xml"/><Relationship Id="rId5" Type="http://schemas.openxmlformats.org/officeDocument/2006/relationships/header" Target="header3.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8" Type="http://schemas.openxmlformats.org/officeDocument/2006/relationships/fontTable" Target="fontTable.xml"/><Relationship Id="rId17" Type="http://schemas.openxmlformats.org/officeDocument/2006/relationships/customXml" Target="../customXml/item2.xml"/><Relationship Id="rId16" Type="http://schemas.openxmlformats.org/officeDocument/2006/relationships/numbering" Target="numbering.xml"/><Relationship Id="rId15" Type="http://schemas.openxmlformats.org/officeDocument/2006/relationships/customXml" Target="../customXml/item1.xml"/><Relationship Id="rId14" Type="http://schemas.openxmlformats.org/officeDocument/2006/relationships/theme" Target="theme/theme1.xml"/><Relationship Id="rId13" Type="http://schemas.openxmlformats.org/officeDocument/2006/relationships/footer" Target="footer8.xml"/><Relationship Id="rId12" Type="http://schemas.openxmlformats.org/officeDocument/2006/relationships/footer" Target="footer7.xml"/><Relationship Id="rId11" Type="http://schemas.openxmlformats.org/officeDocument/2006/relationships/footer" Target="footer6.xml"/><Relationship Id="rId10" Type="http://schemas.openxmlformats.org/officeDocument/2006/relationships/footer" Target="footer5.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5AB1EC96-2E82-4092-80AD-1712BC2BA81C}">
  <ds:schemaRefs/>
</ds:datastoreItem>
</file>

<file path=docProps/app.xml><?xml version="1.0" encoding="utf-8"?>
<Properties xmlns="http://schemas.openxmlformats.org/officeDocument/2006/extended-properties" xmlns:vt="http://schemas.openxmlformats.org/officeDocument/2006/docPropsVTypes">
  <Template>Normal.dotm</Template>
  <Company>SZF</Company>
  <Pages>53</Pages>
  <Words>25157</Words>
  <Characters>27020</Characters>
  <Lines>221</Lines>
  <Paragraphs>62</Paragraphs>
  <TotalTime>16</TotalTime>
  <ScaleCrop>false</ScaleCrop>
  <LinksUpToDate>false</LinksUpToDate>
  <CharactersWithSpaces>27774</CharactersWithSpaces>
  <Application>WPS Office_12.1.0.25225_F1E327BC-269C-435d-A152-05C5408002CA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2022-09-15T08:01:00Z</dcterms:created>
  <dc:creator>user</dc:creator>
  <cp:lastModifiedBy>酒酿小圆子</cp:lastModifiedBy>
  <cp:lastPrinted>2024-04-07T01:45:00Z</cp:lastPrinted>
  <dcterms:modified xsi:type="dcterms:W3CDTF">2026-04-16T08:08:08Z</dcterms:modified>
  <dc:title>招  标  文  件</dc:title>
  <cp:revision>19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A0571844563A42A5B3227EA915C92883_13</vt:lpwstr>
  </property>
  <property fmtid="{D5CDD505-2E9C-101B-9397-08002B2CF9AE}" pid="4" name="KSOTemplateDocerSaveRecord">
    <vt:lpwstr>eyJoZGlkIjoiNzgwMzk5YWNlOTlhZGNmYTkwYzkzMGM2MDFhMzUwMDQiLCJ1c2VySWQiOiI0MDM5OTE5NjUifQ==</vt:lpwstr>
  </property>
</Properties>
</file>